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firstLine="0"/>
        <w:jc w:val="center"/>
        <w:rPr>
          <w:rFonts w:ascii="微软雅黑" w:hAnsi="微软雅黑" w:eastAsia="微软雅黑" w:cs="微软雅黑"/>
          <w:i w:val="0"/>
          <w:iCs w:val="0"/>
          <w:caps w:val="0"/>
          <w:color w:val="333333"/>
          <w:spacing w:val="0"/>
          <w:sz w:val="15"/>
          <w:szCs w:val="15"/>
        </w:rPr>
      </w:pPr>
      <w:r>
        <w:rPr>
          <w:rFonts w:hint="eastAsia" w:ascii="微软雅黑" w:hAnsi="微软雅黑" w:eastAsia="微软雅黑" w:cs="微软雅黑"/>
          <w:i w:val="0"/>
          <w:iCs w:val="0"/>
          <w:caps w:val="0"/>
          <w:color w:val="333333"/>
          <w:spacing w:val="0"/>
          <w:sz w:val="15"/>
          <w:szCs w:val="15"/>
          <w:bdr w:val="none" w:color="auto" w:sz="0" w:space="0"/>
          <w:shd w:val="clear" w:fill="FFFFFF"/>
        </w:rPr>
        <w:t>浙江省建设领域“十四五”推广应用和限制、禁止使用技术公告（第一批）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firstLine="420"/>
        <w:jc w:val="left"/>
        <w:rPr>
          <w:rFonts w:hint="eastAsia" w:ascii="微软雅黑" w:hAnsi="微软雅黑" w:eastAsia="微软雅黑" w:cs="微软雅黑"/>
          <w:i w:val="0"/>
          <w:iCs w:val="0"/>
          <w:caps w:val="0"/>
          <w:color w:val="333333"/>
          <w:spacing w:val="0"/>
          <w:sz w:val="15"/>
          <w:szCs w:val="15"/>
        </w:rPr>
      </w:pPr>
      <w:r>
        <w:rPr>
          <w:rFonts w:hint="eastAsia" w:ascii="微软雅黑" w:hAnsi="微软雅黑" w:eastAsia="微软雅黑" w:cs="微软雅黑"/>
          <w:i w:val="0"/>
          <w:iCs w:val="0"/>
          <w:caps w:val="0"/>
          <w:color w:val="333333"/>
          <w:spacing w:val="0"/>
          <w:sz w:val="15"/>
          <w:szCs w:val="15"/>
          <w:bdr w:val="none" w:color="auto" w:sz="0" w:space="0"/>
          <w:shd w:val="clear" w:fill="FFFFFF"/>
        </w:rPr>
        <w:t>一、推广应用类</w:t>
      </w:r>
    </w:p>
    <w:tbl>
      <w:tblPr>
        <w:tblW w:w="1078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294"/>
        <w:gridCol w:w="1509"/>
        <w:gridCol w:w="863"/>
        <w:gridCol w:w="4097"/>
        <w:gridCol w:w="30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70" w:hRule="atLeast"/>
          <w:jc w:val="center"/>
        </w:trPr>
        <w:tc>
          <w:tcPr>
            <w:tcW w:w="1300" w:type="pct"/>
            <w:gridSpan w:val="2"/>
            <w:tcBorders>
              <w:top w:val="single" w:color="auto" w:sz="4" w:space="0"/>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技术分类</w:t>
            </w:r>
          </w:p>
        </w:tc>
        <w:tc>
          <w:tcPr>
            <w:tcW w:w="400" w:type="pct"/>
            <w:tcBorders>
              <w:top w:val="single" w:color="auto" w:sz="4" w:space="0"/>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序号</w:t>
            </w:r>
          </w:p>
        </w:tc>
        <w:tc>
          <w:tcPr>
            <w:tcW w:w="1900" w:type="pct"/>
            <w:tcBorders>
              <w:top w:val="single" w:color="auto" w:sz="4" w:space="0"/>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技术类别、名称</w:t>
            </w:r>
          </w:p>
        </w:tc>
        <w:tc>
          <w:tcPr>
            <w:tcW w:w="1300" w:type="pct"/>
            <w:tcBorders>
              <w:top w:val="single" w:color="auto" w:sz="4" w:space="0"/>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重点推广应用领域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0" w:hRule="atLeast"/>
          <w:jc w:val="center"/>
        </w:trPr>
        <w:tc>
          <w:tcPr>
            <w:tcW w:w="5000" w:type="pct"/>
            <w:gridSpan w:val="5"/>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一、节材与材料资源综合利用技术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600" w:type="pct"/>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化学建材技术</w:t>
            </w:r>
          </w:p>
        </w:tc>
        <w:tc>
          <w:tcPr>
            <w:tcW w:w="7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建筑涂料</w:t>
            </w:r>
          </w:p>
        </w:tc>
        <w:tc>
          <w:tcPr>
            <w:tcW w:w="4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w:t>
            </w:r>
          </w:p>
        </w:tc>
        <w:tc>
          <w:tcPr>
            <w:tcW w:w="19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建筑外表面用自清洁涂料                         </w:t>
            </w:r>
          </w:p>
        </w:tc>
        <w:tc>
          <w:tcPr>
            <w:tcW w:w="13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工业与民用建筑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0" w:hRule="atLeast"/>
          <w:jc w:val="center"/>
        </w:trPr>
        <w:tc>
          <w:tcPr>
            <w:tcW w:w="5000" w:type="pct"/>
            <w:gridSpan w:val="5"/>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二、城镇环境整治技术与市政工程技术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1300" w:type="pct"/>
            <w:gridSpan w:val="2"/>
            <w:vMerge w:val="restart"/>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燃气安全控制技术</w:t>
            </w:r>
          </w:p>
        </w:tc>
        <w:tc>
          <w:tcPr>
            <w:tcW w:w="4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w:t>
            </w:r>
          </w:p>
        </w:tc>
        <w:tc>
          <w:tcPr>
            <w:tcW w:w="19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采用不锈钢波纹管与燃气用具相连接的技术</w:t>
            </w:r>
          </w:p>
        </w:tc>
        <w:tc>
          <w:tcPr>
            <w:tcW w:w="13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城镇建设</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1300" w:type="pct"/>
            <w:gridSpan w:val="2"/>
            <w:vMerge w:val="continue"/>
            <w:tcBorders>
              <w:top w:val="nil"/>
              <w:left w:val="single" w:color="auto" w:sz="4" w:space="0"/>
              <w:bottom w:val="single" w:color="auto" w:sz="4" w:space="0"/>
              <w:right w:val="single" w:color="auto" w:sz="4" w:space="0"/>
            </w:tcBorders>
            <w:shd w:val="clear"/>
            <w:tcMar>
              <w:left w:w="70" w:type="dxa"/>
              <w:right w:w="70" w:type="dxa"/>
            </w:tcMar>
            <w:vAlign w:val="center"/>
          </w:tcPr>
          <w:p>
            <w:pPr>
              <w:rPr>
                <w:rFonts w:hint="eastAsia"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w:t>
            </w:r>
          </w:p>
        </w:tc>
        <w:tc>
          <w:tcPr>
            <w:tcW w:w="19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燃气用具与燃气专用软管采用螺纹连接方式的技术</w:t>
            </w:r>
          </w:p>
        </w:tc>
        <w:tc>
          <w:tcPr>
            <w:tcW w:w="13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城镇建设</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5000" w:type="pct"/>
            <w:gridSpan w:val="5"/>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三、新型建筑工业化应用技术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0" w:hRule="atLeast"/>
          <w:jc w:val="center"/>
        </w:trPr>
        <w:tc>
          <w:tcPr>
            <w:tcW w:w="1300" w:type="pct"/>
            <w:gridSpan w:val="2"/>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绿色施工</w:t>
            </w:r>
          </w:p>
        </w:tc>
        <w:tc>
          <w:tcPr>
            <w:tcW w:w="4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w:t>
            </w:r>
          </w:p>
        </w:tc>
        <w:tc>
          <w:tcPr>
            <w:tcW w:w="19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基坑工程智慧监测技术</w:t>
            </w:r>
          </w:p>
        </w:tc>
        <w:tc>
          <w:tcPr>
            <w:tcW w:w="13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建设工程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jc w:val="center"/>
        </w:trPr>
        <w:tc>
          <w:tcPr>
            <w:tcW w:w="1300" w:type="pct"/>
            <w:gridSpan w:val="2"/>
            <w:tcBorders>
              <w:top w:val="nil"/>
              <w:left w:val="single" w:color="auto" w:sz="4" w:space="0"/>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装配化装修技术</w:t>
            </w:r>
          </w:p>
        </w:tc>
        <w:tc>
          <w:tcPr>
            <w:tcW w:w="4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w:t>
            </w:r>
          </w:p>
        </w:tc>
        <w:tc>
          <w:tcPr>
            <w:tcW w:w="19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装配化装修技术</w:t>
            </w:r>
          </w:p>
        </w:tc>
        <w:tc>
          <w:tcPr>
            <w:tcW w:w="1300" w:type="pct"/>
            <w:tcBorders>
              <w:top w:val="nil"/>
              <w:left w:val="nil"/>
              <w:bottom w:val="single" w:color="auto" w:sz="4" w:space="0"/>
              <w:right w:val="single" w:color="auto" w:sz="4" w:space="0"/>
            </w:tcBorders>
            <w:shd w:val="clear"/>
            <w:tcMar>
              <w:left w:w="7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民用建筑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540" w:type="dxa"/>
            <w:tcBorders>
              <w:top w:val="nil"/>
              <w:left w:val="nil"/>
              <w:bottom w:val="nil"/>
              <w:right w:val="nil"/>
            </w:tcBorders>
            <w:shd w:val="clear"/>
            <w:vAlign w:val="center"/>
          </w:tcPr>
          <w:p>
            <w:pPr>
              <w:keepNext w:val="0"/>
              <w:keepLines w:val="0"/>
              <w:widowControl/>
              <w:suppressLineNumbers w:val="0"/>
              <w:jc w:val="left"/>
              <w:rPr>
                <w:rFonts w:hint="default" w:ascii="微软雅黑!important" w:hAnsi="微软雅黑!important" w:eastAsia="微软雅黑!important" w:cs="微软雅黑!important"/>
              </w:rPr>
            </w:pPr>
          </w:p>
        </w:tc>
        <w:tc>
          <w:tcPr>
            <w:tcW w:w="630" w:type="dxa"/>
            <w:tcBorders>
              <w:top w:val="nil"/>
              <w:left w:val="nil"/>
              <w:bottom w:val="nil"/>
              <w:right w:val="nil"/>
            </w:tcBorders>
            <w:shd w:val="clear"/>
            <w:vAlign w:val="center"/>
          </w:tcPr>
          <w:p>
            <w:pPr>
              <w:keepNext w:val="0"/>
              <w:keepLines w:val="0"/>
              <w:widowControl/>
              <w:suppressLineNumbers w:val="0"/>
              <w:jc w:val="left"/>
              <w:rPr>
                <w:rFonts w:hint="default" w:ascii="微软雅黑!important" w:hAnsi="微软雅黑!important" w:eastAsia="微软雅黑!important" w:cs="微软雅黑!important"/>
              </w:rPr>
            </w:pPr>
          </w:p>
        </w:tc>
        <w:tc>
          <w:tcPr>
            <w:tcW w:w="400" w:type="dxa"/>
            <w:tcBorders>
              <w:top w:val="nil"/>
              <w:left w:val="nil"/>
              <w:bottom w:val="nil"/>
              <w:right w:val="nil"/>
            </w:tcBorders>
            <w:shd w:val="clear"/>
            <w:vAlign w:val="center"/>
          </w:tcPr>
          <w:p>
            <w:pPr>
              <w:keepNext w:val="0"/>
              <w:keepLines w:val="0"/>
              <w:widowControl/>
              <w:suppressLineNumbers w:val="0"/>
              <w:jc w:val="left"/>
              <w:rPr>
                <w:rFonts w:hint="default" w:ascii="微软雅黑!important" w:hAnsi="微软雅黑!important" w:eastAsia="微软雅黑!important" w:cs="微软雅黑!important"/>
              </w:rPr>
            </w:pPr>
          </w:p>
        </w:tc>
        <w:tc>
          <w:tcPr>
            <w:tcW w:w="1720" w:type="dxa"/>
            <w:tcBorders>
              <w:top w:val="nil"/>
              <w:left w:val="nil"/>
              <w:bottom w:val="nil"/>
              <w:right w:val="nil"/>
            </w:tcBorders>
            <w:shd w:val="clear"/>
            <w:vAlign w:val="center"/>
          </w:tcPr>
          <w:p>
            <w:pPr>
              <w:keepNext w:val="0"/>
              <w:keepLines w:val="0"/>
              <w:widowControl/>
              <w:suppressLineNumbers w:val="0"/>
              <w:jc w:val="left"/>
              <w:rPr>
                <w:rFonts w:hint="default" w:ascii="微软雅黑!important" w:hAnsi="微软雅黑!important" w:eastAsia="微软雅黑!important" w:cs="微软雅黑!important"/>
              </w:rPr>
            </w:pPr>
          </w:p>
        </w:tc>
        <w:tc>
          <w:tcPr>
            <w:tcW w:w="1210" w:type="dxa"/>
            <w:tcBorders>
              <w:top w:val="nil"/>
              <w:left w:val="nil"/>
              <w:bottom w:val="nil"/>
              <w:right w:val="nil"/>
            </w:tcBorders>
            <w:shd w:val="clear"/>
            <w:vAlign w:val="center"/>
          </w:tcPr>
          <w:p>
            <w:pPr>
              <w:keepNext w:val="0"/>
              <w:keepLines w:val="0"/>
              <w:widowControl/>
              <w:suppressLineNumbers w:val="0"/>
              <w:jc w:val="left"/>
              <w:rPr>
                <w:rFonts w:hint="default" w:ascii="微软雅黑!important" w:hAnsi="微软雅黑!important" w:eastAsia="微软雅黑!important" w:cs="微软雅黑!important"/>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firstLine="420"/>
        <w:jc w:val="left"/>
        <w:rPr>
          <w:rFonts w:hint="eastAsia" w:ascii="微软雅黑" w:hAnsi="微软雅黑" w:eastAsia="微软雅黑" w:cs="微软雅黑"/>
          <w:i w:val="0"/>
          <w:iCs w:val="0"/>
          <w:caps w:val="0"/>
          <w:color w:val="333333"/>
          <w:spacing w:val="0"/>
          <w:sz w:val="15"/>
          <w:szCs w:val="15"/>
        </w:rPr>
      </w:pPr>
      <w:r>
        <w:rPr>
          <w:rFonts w:hint="eastAsia" w:ascii="微软雅黑" w:hAnsi="微软雅黑" w:eastAsia="微软雅黑" w:cs="微软雅黑"/>
          <w:i w:val="0"/>
          <w:iCs w:val="0"/>
          <w:caps w:val="0"/>
          <w:color w:val="333333"/>
          <w:spacing w:val="0"/>
          <w:sz w:val="15"/>
          <w:szCs w:val="15"/>
          <w:bdr w:val="none" w:color="auto" w:sz="0" w:space="0"/>
          <w:shd w:val="clear" w:fill="FFFFFF"/>
        </w:rPr>
        <w:t>二、限制使用类技术与产品</w:t>
      </w:r>
    </w:p>
    <w:tbl>
      <w:tblPr>
        <w:tblW w:w="1078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540"/>
        <w:gridCol w:w="550"/>
        <w:gridCol w:w="3631"/>
        <w:gridCol w:w="506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tcBorders>
              <w:top w:val="single" w:color="auto" w:sz="4" w:space="0"/>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技术类别</w:t>
            </w:r>
          </w:p>
        </w:tc>
        <w:tc>
          <w:tcPr>
            <w:tcW w:w="250" w:type="pct"/>
            <w:tcBorders>
              <w:top w:val="single" w:color="auto" w:sz="4" w:space="0"/>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序号</w:t>
            </w:r>
          </w:p>
        </w:tc>
        <w:tc>
          <w:tcPr>
            <w:tcW w:w="1650" w:type="pct"/>
            <w:tcBorders>
              <w:top w:val="single" w:color="auto" w:sz="4" w:space="0"/>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技术与产品名称</w:t>
            </w:r>
          </w:p>
        </w:tc>
        <w:tc>
          <w:tcPr>
            <w:tcW w:w="2300" w:type="pct"/>
            <w:tcBorders>
              <w:top w:val="single" w:color="auto" w:sz="4" w:space="0"/>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限制范围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墙体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保温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辅配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材料</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实心粘土砖</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除修缮古建筑、文物保护等有特殊规定使用外，不得用于其他建筑工程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有机板材类薄抹灰外墙外保温系统</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限用于建筑高度≤27m的民用建筑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喷涂类薄抹灰外墙外保温系统</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限用于建筑高度≤27m的民用建筑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3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非耐碱玻纤网格布</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不得用于水泥基的增强材料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65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非断热金属型材制作的建筑外门窗</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不得用于民用建筑外窗（有设计活动外遮阳及非供暖制冷空调的民用建筑或空间除外）</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6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6</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现场施打结构胶的玻璃幕墙施工工艺</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不得用于隐框和半隐框的幕墙工程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7</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建筑玻璃用隔热涂料</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不得用于新建民用建筑施工现场涂刷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8</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建筑外窗用单点执手</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不得用于居住建筑和有节能要求的公共建筑（非供暖制冷空调的民用建筑或空间除外）</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9</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单层、非中空双层玻璃普通外门窗</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不得用于有节能要求的民用建筑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给排水器  具及管道</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10</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镀锌钢管（内衬保护层的热镀锌钢管除外）</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不得用于生活给水管道</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1"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11</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手触式冲洗阀</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不得用于公共厕所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1"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12</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小便器（&gt;3L）</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不得用于公共厕所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5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混凝土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的外加剂</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13</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尿素型混凝土防冻剂</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不得用于建设工程的冬季混凝土施工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14</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氯离子含量＞0.1%的混凝土防冻剂</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不得用于预应力混凝土、钢筋混凝土工程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4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防水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材料</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15</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聚乙烯丙纶（涤纶）复合防水卷材</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不得用于房屋建筑的屋面工程；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聚乙烯膜层厚度≤0.5㎜以下的卷材不允许用于房屋建筑的地下防水工程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5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16</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溶剂型防水材料</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不得用于通风条件差的地下防水工程或室内和其它不通风的防水工程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04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构件</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17</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人工挖孔桩(长径比≥6)</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不得用于软土地层，地下水位高的砂土层等地层及含有沼气等有害气体的特殊地层。因工程情况使用人工挖孔桩的项目，施工单位应制定专项施工方案并论证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18</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钢筋砖过梁</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不得用于宽度＞500mm的洞口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19</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预应力混凝土管（D≤600mm）</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不得用于给水主干管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道桥施工</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20</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桥面沥青弹塑体填充式伸缩缝</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不得用于大、中型市政桥梁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21</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桥面连续构造处橡胶片隔离层材料</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不得用于市政桥梁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22</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桥梁悬浇挂篮上部与底篮精轧螺纹钢吊杆连接工艺</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在下列任一条件下不得使用：1.前吊点连接；2.其他吊点连接：（1）上下钢结构直接连接（未穿过混凝土结构）；（2）与底篮连接未采用活动铰；（3）吊杆未设外保护套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750" w:hRule="atLeast"/>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建筑用钢筋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钢筋工程</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23</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冷拔低碳钢丝</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不得作为工业与民用建筑预应力钢筋使用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331"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24</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钢筋闪光对焊</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在非固定的专业预制厂（场）或钢筋加工厂（场）内，对直径大于或等于22毫米的钢筋进行连接作业时，不得使用钢筋闪光对焊工艺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25</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电弧搭接焊</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限用于建设工程中直径为≤22mm的热轧钢筋连接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700" w:type="pct"/>
            <w:vMerge w:val="restar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机械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设备</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26</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钢筋砂轮切断机</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不得用于施工现场钢筋切割</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27</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白蚁防治药物屏障技术</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不得用于学校、医院和住宅小区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28</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卤素灯</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不得用于新建公共建筑和成品住宅建筑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29</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非数控孔道压浆设备</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在二类以上市政工程项目预制场内进行后张法预应力构件施工时不得使用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700" w:type="pct"/>
            <w:vMerge w:val="continue"/>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rPr>
                <w:rFonts w:hint="default" w:ascii="微软雅黑!important" w:hAnsi="微软雅黑!important" w:eastAsia="微软雅黑!important" w:cs="微软雅黑!important"/>
                <w:sz w:val="24"/>
                <w:szCs w:val="24"/>
              </w:rPr>
            </w:pP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30</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非数控预应力张拉设备</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在二类以上市政工程项目预制场内进行后张法预应力构件施工时不得使用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700" w:type="pct"/>
            <w:tcBorders>
              <w:top w:val="nil"/>
              <w:left w:val="single" w:color="auto" w:sz="4" w:space="0"/>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其他</w:t>
            </w:r>
          </w:p>
        </w:tc>
        <w:tc>
          <w:tcPr>
            <w:tcW w:w="2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31</w:t>
            </w:r>
          </w:p>
        </w:tc>
        <w:tc>
          <w:tcPr>
            <w:tcW w:w="165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沥青类防水卷材热熔工艺（明火施工）</w:t>
            </w:r>
          </w:p>
        </w:tc>
        <w:tc>
          <w:tcPr>
            <w:tcW w:w="2300" w:type="pct"/>
            <w:tcBorders>
              <w:top w:val="nil"/>
              <w:left w:val="nil"/>
              <w:bottom w:val="single" w:color="auto" w:sz="4" w:space="0"/>
              <w:right w:val="single" w:color="auto" w:sz="4" w:space="0"/>
            </w:tcBorders>
            <w:shd w:val="clear"/>
            <w:tcMar>
              <w:top w:w="20" w:type="dxa"/>
              <w:left w:w="40" w:type="dxa"/>
              <w:bottom w:w="2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不得用于地下密闭空间、通风不畅空间、易燃材料附近的防水工程</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0" w:lineRule="atLeast"/>
        <w:ind w:left="0" w:right="0" w:firstLine="420"/>
        <w:jc w:val="left"/>
        <w:rPr>
          <w:rFonts w:hint="eastAsia" w:ascii="微软雅黑" w:hAnsi="微软雅黑" w:eastAsia="微软雅黑" w:cs="微软雅黑"/>
          <w:i w:val="0"/>
          <w:iCs w:val="0"/>
          <w:caps w:val="0"/>
          <w:color w:val="333333"/>
          <w:spacing w:val="0"/>
          <w:sz w:val="15"/>
          <w:szCs w:val="15"/>
        </w:rPr>
      </w:pPr>
      <w:r>
        <w:rPr>
          <w:rFonts w:hint="eastAsia" w:ascii="微软雅黑" w:hAnsi="微软雅黑" w:eastAsia="微软雅黑" w:cs="微软雅黑"/>
          <w:i w:val="0"/>
          <w:iCs w:val="0"/>
          <w:caps w:val="0"/>
          <w:color w:val="333333"/>
          <w:spacing w:val="0"/>
          <w:sz w:val="15"/>
          <w:szCs w:val="15"/>
          <w:bdr w:val="none" w:color="auto" w:sz="0" w:space="0"/>
          <w:shd w:val="clear" w:fill="FFFFFF"/>
        </w:rPr>
        <w:t>三、禁止类技术与产品</w:t>
      </w:r>
    </w:p>
    <w:tbl>
      <w:tblPr>
        <w:tblW w:w="1078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320"/>
        <w:gridCol w:w="880"/>
        <w:gridCol w:w="85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blHeader/>
          <w:jc w:val="center"/>
        </w:trPr>
        <w:tc>
          <w:tcPr>
            <w:tcW w:w="600" w:type="pct"/>
            <w:tcBorders>
              <w:top w:val="single" w:color="auto" w:sz="4" w:space="0"/>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技术类别</w:t>
            </w:r>
          </w:p>
        </w:tc>
        <w:tc>
          <w:tcPr>
            <w:tcW w:w="400" w:type="pct"/>
            <w:tcBorders>
              <w:top w:val="single" w:color="auto" w:sz="4" w:space="0"/>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序号</w:t>
            </w:r>
          </w:p>
        </w:tc>
        <w:tc>
          <w:tcPr>
            <w:tcW w:w="3900" w:type="pct"/>
            <w:tcBorders>
              <w:top w:val="single" w:color="auto" w:sz="4" w:space="0"/>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技术与产品名称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建筑门窗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及配件</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未增塑聚氯乙烯（PVC-U）单腔结构型材的塑料窗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非硅化密封毛条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非滚动轴承式滑轮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用于门窗、幕墙型材的聚氯乙烯(PVC)隔热条、密封条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用于干挂、石材、幕墙的斜插入式挂件和T型挂件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给排水器具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及管道</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坐便器（充水量大于8升/次）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上导向直落式水箱配件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8</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螺旋升降式铸铁水嘴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9</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二次生活供水用屋顶混凝土水箱、普通钢板水箱</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10</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硬聚氯乙烯（UPVC）给水管材、管件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灰口铸铁给水管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冷镀锌给水管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水封深度小于50mm的地漏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建筑墙体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屋面材料</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非耐碱玻纤生产的GRC轻质隔墙板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手工成型的GRC轻质隔墙板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非蒸压养护加气混凝土砌块和手工切割生产的加气混凝土砌块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菱镁类复合保温墙板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18</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体积吸水率大于20%的保温材料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1"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19</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以石棉为原料的建材制品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20</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沥青复合胎柔性防水卷材、胶粉改性沥青玻纤毡与玻纤网格布增强防水卷材、胶粉改性沥青玻纤毡与聚乙烯膜增强防水卷材、胶粉改性沥青聚酯毡与玻纤网格布增强防水卷材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煤焦油类防水材料（防水卷材、防水涂料、密封材料）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采用二次加热复合成型工艺或再生原料生产的聚乙烯丙纶等复合防水卷材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40" w:hRule="atLeast"/>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涂料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粘结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材料</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溶剂型内、外墙涂料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5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溶剂型内、外墙粘结剂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聚乙烯醇缩甲醛类涂料、腻子、粘结剂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4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氯乙烯-偏氯乙烯共聚乳液类外墙涂料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4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聚丙烯酰胺类建筑胶粘剂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11" w:hRule="atLeast"/>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外加剂</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28</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氧化钙类混凝土膨胀剂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3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29</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总碱量0.75%以上且掺入量占胶凝材料用量8%以上的膨胀剂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30</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以松香皂化热聚物为主要成份的砂浆添加剂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施工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机具</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纤维板模板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脲醛树脂生产的竹、木胶合板模板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扣件式钢管悬挑卸料平台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扣件式钢管井架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钢管悬挑梁脚手架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大模板悬挂脚手架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单轨井架物料提升机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38</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井架简易塔式起重机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39</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上回转非自升式塔式起重机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40</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自制简易的或用摩擦式卷扬机驱动的钢丝绳式物料提升机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QTG20、QTG25、QTG30等型号的塔式起重机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80" w:hRule="atLeast"/>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非标钢管脚手架扣件：材质KTH330-08牌号的可锻铸铁，其重量&lt;1.10kg/套的直角型全铸铁扣件；重量&lt;1.25kg/套的旋转型全铸铁扣件和对接型全铸铁扣件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自制简易吊架、物料提升机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木制配电箱</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石板闸刀开关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HK1、HK2、HK2P、HK8型闸刀开关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四芯电缆外加一芯、花线、胶质线</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48</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非标移动卷线开关盘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城镇燃气工程技术及材料</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49</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燃气用具连接用橡胶复合软管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50</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燃气用具连接用金属包覆软管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51</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燃气用具用插入式连接技术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restart"/>
            <w:tcBorders>
              <w:top w:val="nil"/>
              <w:left w:val="single" w:color="auto" w:sz="4" w:space="0"/>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其它</w:t>
            </w: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52</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无防窜烟措施单立（孔）管住宅共用排烟道、砖砌排烟道</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53</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用非耐碱玻璃纤维做增强材料的GRC住宅排烟气道</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54</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可燃排烟气道止回阀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55</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聚丙烯加筋土挡墙拉筋带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56</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现场简易制作钢筋保护层垫块工艺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pct"/>
            <w:vMerge w:val="continue"/>
            <w:tcBorders>
              <w:top w:val="nil"/>
              <w:left w:val="single" w:color="auto" w:sz="4" w:space="0"/>
              <w:bottom w:val="single" w:color="auto" w:sz="4" w:space="0"/>
              <w:right w:val="single" w:color="auto" w:sz="4" w:space="0"/>
            </w:tcBorders>
            <w:shd w:val="clear"/>
            <w:tcMar>
              <w:left w:w="40" w:type="dxa"/>
              <w:right w:w="40" w:type="dxa"/>
            </w:tcMar>
            <w:vAlign w:val="center"/>
          </w:tcPr>
          <w:p>
            <w:pPr>
              <w:rPr>
                <w:rFonts w:hint="default" w:ascii="微软雅黑!important" w:hAnsi="微软雅黑!important" w:eastAsia="微软雅黑!important" w:cs="微软雅黑!important"/>
                <w:sz w:val="24"/>
                <w:szCs w:val="24"/>
              </w:rPr>
            </w:pPr>
          </w:p>
        </w:tc>
        <w:tc>
          <w:tcPr>
            <w:tcW w:w="4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57</w:t>
            </w:r>
          </w:p>
        </w:tc>
        <w:tc>
          <w:tcPr>
            <w:tcW w:w="3900" w:type="pct"/>
            <w:tcBorders>
              <w:top w:val="nil"/>
              <w:left w:val="nil"/>
              <w:bottom w:val="single" w:color="auto" w:sz="4" w:space="0"/>
              <w:right w:val="single" w:color="auto" w:sz="4" w:space="0"/>
            </w:tcBorders>
            <w:shd w:val="clear"/>
            <w:tcMar>
              <w:left w:w="40" w:type="dxa"/>
              <w:right w:w="4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left"/>
              <w:rPr>
                <w:rFonts w:hint="eastAsia" w:ascii="微软雅黑" w:hAnsi="微软雅黑" w:eastAsia="微软雅黑" w:cs="微软雅黑"/>
                <w:sz w:val="15"/>
                <w:szCs w:val="15"/>
              </w:rPr>
            </w:pPr>
            <w:r>
              <w:rPr>
                <w:rFonts w:hint="eastAsia" w:ascii="微软雅黑" w:hAnsi="微软雅黑" w:eastAsia="微软雅黑" w:cs="微软雅黑"/>
                <w:sz w:val="15"/>
                <w:szCs w:val="15"/>
                <w:bdr w:val="none" w:color="auto" w:sz="0" w:space="0"/>
              </w:rPr>
              <w:t>卷扬机钢筋调直工艺</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important">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MjQ1YTFhYjdjZjUzOTY1YmE1ZjgzNzA2NjU4MGQifQ=="/>
  </w:docVars>
  <w:rsids>
    <w:rsidRoot w:val="00000000"/>
    <w:rsid w:val="53487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2023-09-24T07:20:24Z</dcterms:created>
  <dc:creator>kuai</dc:creator>
  <cp:lastModifiedBy>蒯蒯</cp:lastModifiedBy>
  <dcterms:modified xsi:type="dcterms:W3CDTF">2023-09-24T07:20:40Z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1676C160F4F74018B2A8FD9082F7ED50_12</vt:lpwstr>
  </property>
</Properties>
</file>