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附件：</w:t>
      </w:r>
    </w:p>
    <w:p>
      <w:pPr>
        <w:jc w:val="center"/>
        <w:rPr>
          <w:rFonts w:hint="eastAsia" w:ascii="宋体" w:hAnsi="宋体" w:eastAsia="宋体" w:cs="宋体"/>
          <w:b/>
          <w:sz w:val="36"/>
          <w:szCs w:val="36"/>
        </w:rPr>
      </w:pPr>
      <w:r>
        <w:rPr>
          <w:rFonts w:hint="eastAsia" w:ascii="宋体" w:hAnsi="宋体" w:eastAsia="宋体" w:cs="宋体"/>
          <w:b/>
          <w:sz w:val="36"/>
          <w:szCs w:val="36"/>
        </w:rPr>
        <w:t>新疆</w:t>
      </w:r>
      <w:r>
        <w:rPr>
          <w:rFonts w:hint="eastAsia" w:ascii="宋体" w:hAnsi="宋体" w:eastAsia="宋体" w:cs="宋体"/>
          <w:b/>
          <w:sz w:val="36"/>
          <w:szCs w:val="36"/>
          <w:lang w:eastAsia="zh-CN"/>
        </w:rPr>
        <w:t>维吾尔自治区</w:t>
      </w:r>
      <w:r>
        <w:rPr>
          <w:rFonts w:hint="eastAsia" w:ascii="宋体" w:hAnsi="宋体" w:eastAsia="宋体" w:cs="宋体"/>
          <w:b/>
          <w:sz w:val="36"/>
          <w:szCs w:val="36"/>
        </w:rPr>
        <w:t>建筑外保温技术</w:t>
      </w:r>
      <w:r>
        <w:rPr>
          <w:rFonts w:hint="eastAsia" w:ascii="宋体" w:hAnsi="宋体" w:eastAsia="宋体" w:cs="宋体"/>
          <w:b/>
          <w:sz w:val="36"/>
          <w:szCs w:val="36"/>
          <w:lang w:eastAsia="zh-CN"/>
        </w:rPr>
        <w:t>和</w:t>
      </w:r>
      <w:r>
        <w:rPr>
          <w:rFonts w:hint="eastAsia" w:ascii="宋体" w:hAnsi="宋体" w:eastAsia="宋体" w:cs="宋体"/>
          <w:b/>
          <w:sz w:val="36"/>
          <w:szCs w:val="36"/>
        </w:rPr>
        <w:t>产品推广、限制和禁止使用目录</w:t>
      </w:r>
    </w:p>
    <w:tbl>
      <w:tblPr>
        <w:tblStyle w:val="16"/>
        <w:tblW w:w="15449" w:type="dxa"/>
        <w:tblInd w:w="-6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
        <w:gridCol w:w="368"/>
        <w:gridCol w:w="132"/>
        <w:gridCol w:w="500"/>
        <w:gridCol w:w="68"/>
        <w:gridCol w:w="1615"/>
        <w:gridCol w:w="301"/>
        <w:gridCol w:w="700"/>
        <w:gridCol w:w="2784"/>
        <w:gridCol w:w="199"/>
        <w:gridCol w:w="1017"/>
        <w:gridCol w:w="617"/>
        <w:gridCol w:w="632"/>
        <w:gridCol w:w="218"/>
        <w:gridCol w:w="1732"/>
        <w:gridCol w:w="2001"/>
        <w:gridCol w:w="2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32" w:type="dxa"/>
          <w:trHeight w:val="519" w:hRule="atLeast"/>
        </w:trPr>
        <w:tc>
          <w:tcPr>
            <w:tcW w:w="15117" w:type="dxa"/>
            <w:gridSpan w:val="16"/>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sz w:val="24"/>
                <w:szCs w:val="24"/>
              </w:rPr>
              <w:t>一、推广使用的技术和产品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32" w:type="dxa"/>
          <w:trHeight w:val="476" w:hRule="atLeast"/>
        </w:trPr>
        <w:tc>
          <w:tcPr>
            <w:tcW w:w="500"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500" w:type="dxa"/>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类</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别</w:t>
            </w:r>
          </w:p>
        </w:tc>
        <w:tc>
          <w:tcPr>
            <w:tcW w:w="1683"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名</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称</w:t>
            </w:r>
          </w:p>
        </w:tc>
        <w:tc>
          <w:tcPr>
            <w:tcW w:w="3984" w:type="dxa"/>
            <w:gridSpan w:val="4"/>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技术、产品特点</w:t>
            </w:r>
          </w:p>
        </w:tc>
        <w:tc>
          <w:tcPr>
            <w:tcW w:w="2266" w:type="dxa"/>
            <w:gridSpan w:val="3"/>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适用范围</w:t>
            </w:r>
          </w:p>
        </w:tc>
        <w:tc>
          <w:tcPr>
            <w:tcW w:w="1950"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执行标准</w:t>
            </w:r>
          </w:p>
        </w:tc>
        <w:tc>
          <w:tcPr>
            <w:tcW w:w="4234"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依</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32" w:type="dxa"/>
          <w:trHeight w:val="145" w:hRule="atLeast"/>
        </w:trPr>
        <w:tc>
          <w:tcPr>
            <w:tcW w:w="50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500" w:type="dxa"/>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外墙保温技术</w:t>
            </w:r>
          </w:p>
        </w:tc>
        <w:tc>
          <w:tcPr>
            <w:tcW w:w="1683"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现浇混凝土复合外保温模板墙体保温系统</w:t>
            </w:r>
          </w:p>
        </w:tc>
        <w:tc>
          <w:tcPr>
            <w:tcW w:w="3984" w:type="dxa"/>
            <w:gridSpan w:val="4"/>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以保温模板作为免拆外模板，外侧做防护及装饰面层，通过连接件将保温模板与内侧现浇混凝土连接形成的保温与建筑墙体同寿命的保温结构系统。</w:t>
            </w:r>
          </w:p>
        </w:tc>
        <w:tc>
          <w:tcPr>
            <w:tcW w:w="2266"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建筑高度小于等于100m的现浇混凝土剪力墙、框架柱及框剪结构剪力墙部分的外墙</w:t>
            </w:r>
          </w:p>
        </w:tc>
        <w:tc>
          <w:tcPr>
            <w:tcW w:w="1950"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《现浇混凝土复合外保温模板应用技术标准》XJJ110-2019</w:t>
            </w:r>
          </w:p>
        </w:tc>
        <w:tc>
          <w:tcPr>
            <w:tcW w:w="4234"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《建筑设计防火规范》GB 50016-2014（2018版）、《民用建筑热工设计规范》GB50176-2016、《关于进一步加强自治区建筑保温与结构一体化技术推广应用的通知》（新建科[2020]20号）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32" w:type="dxa"/>
          <w:trHeight w:val="145" w:hRule="atLeast"/>
        </w:trPr>
        <w:tc>
          <w:tcPr>
            <w:tcW w:w="50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500" w:type="dxa"/>
            <w:vMerge w:val="continue"/>
            <w:vAlign w:val="center"/>
          </w:tcPr>
          <w:p>
            <w:pPr>
              <w:jc w:val="center"/>
              <w:rPr>
                <w:rFonts w:hint="eastAsia" w:ascii="仿宋_GB2312" w:hAnsi="仿宋_GB2312" w:eastAsia="仿宋_GB2312" w:cs="仿宋_GB2312"/>
                <w:sz w:val="24"/>
                <w:szCs w:val="24"/>
              </w:rPr>
            </w:pPr>
          </w:p>
        </w:tc>
        <w:tc>
          <w:tcPr>
            <w:tcW w:w="1683" w:type="dxa"/>
            <w:gridSpan w:val="2"/>
            <w:vAlign w:val="center"/>
          </w:tcPr>
          <w:p>
            <w:pPr>
              <w:adjustRightInd/>
              <w:snapToGrid/>
              <w:spacing w:after="0" w:line="36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现浇混凝土大模内置保温系统</w:t>
            </w:r>
          </w:p>
        </w:tc>
        <w:tc>
          <w:tcPr>
            <w:tcW w:w="3984" w:type="dxa"/>
            <w:gridSpan w:val="4"/>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将保温板置于外模板内侧，以现浇混凝土外墙作为基层，保温板内表面与混凝土现浇成型后结合成一体，再在保温板外侧做保温砂浆找平层、抹面胶浆复合玻纤网抗裂层、饰面层形成的外墙外保温系统。</w:t>
            </w:r>
          </w:p>
        </w:tc>
        <w:tc>
          <w:tcPr>
            <w:tcW w:w="2266"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建筑高度小于等于100m的现浇混凝土剪力墙、框架柱及框剪结构剪力墙部分的外墙</w:t>
            </w:r>
          </w:p>
        </w:tc>
        <w:tc>
          <w:tcPr>
            <w:tcW w:w="1950" w:type="dxa"/>
            <w:gridSpan w:val="2"/>
            <w:vAlign w:val="center"/>
          </w:tcPr>
          <w:p>
            <w:pPr>
              <w:adjustRightInd/>
              <w:snapToGrid/>
              <w:spacing w:after="0" w:line="36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《现浇混凝土大模内置保温系统应用技术标准》XJJ108-2019</w:t>
            </w:r>
          </w:p>
        </w:tc>
        <w:tc>
          <w:tcPr>
            <w:tcW w:w="4234"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《建筑设计防火规范》GB 50016-2014（2018版）、《民用建筑热工设计规范》GB50176-2016、《关于进一步加强自治区建筑保温与结构一体化技术推广应用的通知》（新建科[2020]20号）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32" w:type="dxa"/>
          <w:trHeight w:val="145" w:hRule="atLeast"/>
        </w:trPr>
        <w:tc>
          <w:tcPr>
            <w:tcW w:w="50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c>
          <w:tcPr>
            <w:tcW w:w="500" w:type="dxa"/>
            <w:vMerge w:val="continue"/>
            <w:vAlign w:val="center"/>
          </w:tcPr>
          <w:p>
            <w:pPr>
              <w:jc w:val="center"/>
              <w:rPr>
                <w:rFonts w:hint="eastAsia" w:ascii="仿宋_GB2312" w:hAnsi="仿宋_GB2312" w:eastAsia="仿宋_GB2312" w:cs="仿宋_GB2312"/>
                <w:sz w:val="24"/>
                <w:szCs w:val="24"/>
              </w:rPr>
            </w:pPr>
          </w:p>
        </w:tc>
        <w:tc>
          <w:tcPr>
            <w:tcW w:w="1683" w:type="dxa"/>
            <w:gridSpan w:val="2"/>
            <w:vAlign w:val="center"/>
          </w:tcPr>
          <w:p>
            <w:pPr>
              <w:adjustRightInd/>
              <w:snapToGrid/>
              <w:spacing w:after="0" w:line="36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自保温砌块墙体系统</w:t>
            </w:r>
          </w:p>
        </w:tc>
        <w:tc>
          <w:tcPr>
            <w:tcW w:w="3984" w:type="dxa"/>
            <w:gridSpan w:val="4"/>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由自保温砌块砌体采用专用抹灰砂浆抹面而成的构造实体。</w:t>
            </w:r>
          </w:p>
        </w:tc>
        <w:tc>
          <w:tcPr>
            <w:tcW w:w="2266"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建筑高度小于等于100m的框架结构、框架-剪力墙结构中的自承重墙体</w:t>
            </w:r>
          </w:p>
        </w:tc>
        <w:tc>
          <w:tcPr>
            <w:tcW w:w="1950"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《自保温砌块应用技术标准》XJJ109-2019</w:t>
            </w:r>
          </w:p>
        </w:tc>
        <w:tc>
          <w:tcPr>
            <w:tcW w:w="4234"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《民用建筑热工设计规范》GB50176-2016、《关于进一步加强自治区建筑保温与结构一体化技术推广应用的通知》（新建科[2020]20号）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trPr>
        <w:tc>
          <w:tcPr>
            <w:tcW w:w="15449" w:type="dxa"/>
            <w:gridSpan w:val="17"/>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sz w:val="24"/>
                <w:szCs w:val="24"/>
              </w:rPr>
              <w:t>一、推广使用的技术和产品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00"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700" w:type="dxa"/>
            <w:gridSpan w:val="3"/>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类别</w:t>
            </w:r>
          </w:p>
        </w:tc>
        <w:tc>
          <w:tcPr>
            <w:tcW w:w="1916"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名</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称</w:t>
            </w:r>
          </w:p>
        </w:tc>
        <w:tc>
          <w:tcPr>
            <w:tcW w:w="3484"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技术、产品特点</w:t>
            </w:r>
          </w:p>
        </w:tc>
        <w:tc>
          <w:tcPr>
            <w:tcW w:w="1833" w:type="dxa"/>
            <w:gridSpan w:val="3"/>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适用范围</w:t>
            </w:r>
          </w:p>
        </w:tc>
        <w:tc>
          <w:tcPr>
            <w:tcW w:w="2582" w:type="dxa"/>
            <w:gridSpan w:val="3"/>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执行标准</w:t>
            </w:r>
          </w:p>
        </w:tc>
        <w:tc>
          <w:tcPr>
            <w:tcW w:w="4234"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依</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0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p>
        </w:tc>
        <w:tc>
          <w:tcPr>
            <w:tcW w:w="700" w:type="dxa"/>
            <w:gridSpan w:val="3"/>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外墙保温技术</w:t>
            </w:r>
          </w:p>
        </w:tc>
        <w:tc>
          <w:tcPr>
            <w:tcW w:w="1916" w:type="dxa"/>
            <w:gridSpan w:val="2"/>
            <w:vAlign w:val="center"/>
          </w:tcPr>
          <w:p>
            <w:pPr>
              <w:adjustRightInd/>
              <w:snapToGrid/>
              <w:spacing w:after="0" w:line="36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装配式复合外墙板保温系统</w:t>
            </w:r>
          </w:p>
        </w:tc>
        <w:tc>
          <w:tcPr>
            <w:tcW w:w="3484"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采用装配式工艺将复合外墙板通过预埋件与框架梁、柱、板连接在一起，使建筑墙体实现建筑保温与结构一体化、保温与建筑同寿命的节能技术体系。</w:t>
            </w:r>
          </w:p>
        </w:tc>
        <w:tc>
          <w:tcPr>
            <w:tcW w:w="1833"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建筑高度小于等于100m的钢结构、混凝土结构</w:t>
            </w:r>
          </w:p>
        </w:tc>
        <w:tc>
          <w:tcPr>
            <w:tcW w:w="2582"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《装配式混凝土建筑设计规程》</w:t>
            </w:r>
          </w:p>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XJJ085-2017、《装配式钢结构建筑技术标准》GB/T 51232-2016</w:t>
            </w:r>
          </w:p>
        </w:tc>
        <w:tc>
          <w:tcPr>
            <w:tcW w:w="4234"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《建筑设计防火规范》GB 50016-2014（2018版）、《民用建筑热工设计规范》GB50176-2016、《装配式混凝土建筑技术规程》GB/T51231-2016、《关于进一步加强自治区建筑保温与结构一体化技术推广应用的通知》（新建科[2020]20号）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0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c>
          <w:tcPr>
            <w:tcW w:w="700" w:type="dxa"/>
            <w:gridSpan w:val="3"/>
            <w:vMerge w:val="continue"/>
            <w:vAlign w:val="center"/>
          </w:tcPr>
          <w:p>
            <w:pPr>
              <w:jc w:val="center"/>
              <w:rPr>
                <w:rFonts w:hint="eastAsia" w:ascii="仿宋_GB2312" w:hAnsi="仿宋_GB2312" w:eastAsia="仿宋_GB2312" w:cs="仿宋_GB2312"/>
                <w:sz w:val="24"/>
                <w:szCs w:val="24"/>
              </w:rPr>
            </w:pPr>
          </w:p>
        </w:tc>
        <w:tc>
          <w:tcPr>
            <w:tcW w:w="1916" w:type="dxa"/>
            <w:gridSpan w:val="2"/>
            <w:vAlign w:val="center"/>
          </w:tcPr>
          <w:p>
            <w:pPr>
              <w:adjustRightInd/>
              <w:snapToGrid/>
              <w:spacing w:after="0" w:line="36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现浇混凝土夹芯保温墙体系统</w:t>
            </w:r>
          </w:p>
        </w:tc>
        <w:tc>
          <w:tcPr>
            <w:tcW w:w="3484"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通过连接件将结构层、防护层固定连接，中间设置保温层，在保温层两侧同时浇筑混凝土防护层及混凝土结构层，形成保温与结构一体化系统。</w:t>
            </w:r>
          </w:p>
        </w:tc>
        <w:tc>
          <w:tcPr>
            <w:tcW w:w="1833"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建筑高度小于等于100m的现浇混凝土剪力墙结构</w:t>
            </w:r>
          </w:p>
        </w:tc>
        <w:tc>
          <w:tcPr>
            <w:tcW w:w="2582" w:type="dxa"/>
            <w:gridSpan w:val="3"/>
            <w:vAlign w:val="center"/>
          </w:tcPr>
          <w:p>
            <w:pPr>
              <w:adjustRightInd/>
              <w:snapToGrid/>
              <w:spacing w:after="0" w:line="36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《现浇混凝土夹芯保温系统应用技术标准》XJJ1</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7-2021</w:t>
            </w:r>
          </w:p>
        </w:tc>
        <w:tc>
          <w:tcPr>
            <w:tcW w:w="4234"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《建筑设计防火规范》GB 50016-2014（2018版）、《民用建筑热工设计规范》GB50176-2016、《关于进一步加强自治区建筑保温与结构一体化技术推广应用的通知》（新建科[2020]20号）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0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w:t>
            </w:r>
          </w:p>
        </w:tc>
        <w:tc>
          <w:tcPr>
            <w:tcW w:w="700" w:type="dxa"/>
            <w:gridSpan w:val="3"/>
            <w:vMerge w:val="restart"/>
            <w:vAlign w:val="center"/>
          </w:tcPr>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保温材料</w:t>
            </w:r>
          </w:p>
        </w:tc>
        <w:tc>
          <w:tcPr>
            <w:tcW w:w="1916"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绝热用模塑聚苯乙烯泡沫塑料板</w:t>
            </w:r>
          </w:p>
        </w:tc>
        <w:tc>
          <w:tcPr>
            <w:tcW w:w="3484"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themeColor="text1"/>
                <w:sz w:val="24"/>
                <w:szCs w:val="24"/>
                <w14:textFill>
                  <w14:solidFill>
                    <w14:schemeClr w14:val="tx1"/>
                  </w14:solidFill>
                </w14:textFill>
              </w:rPr>
              <w:t>039级导热系数≤0.039 W/（m•K）,033级导热系数≤0.033 W/（m•K），燃烧性能均不</w:t>
            </w:r>
            <w:bookmarkStart w:id="0" w:name="_GoBack"/>
            <w:bookmarkEnd w:id="0"/>
            <w:r>
              <w:rPr>
                <w:rFonts w:hint="eastAsia" w:ascii="仿宋_GB2312" w:hAnsi="仿宋_GB2312" w:eastAsia="仿宋_GB2312" w:cs="仿宋_GB2312"/>
                <w:color w:val="000000" w:themeColor="text1"/>
                <w:sz w:val="24"/>
                <w:szCs w:val="24"/>
                <w14:textFill>
                  <w14:solidFill>
                    <w14:schemeClr w14:val="tx1"/>
                  </w14:solidFill>
                </w14:textFill>
              </w:rPr>
              <w:t>低于B1级。</w:t>
            </w:r>
          </w:p>
        </w:tc>
        <w:tc>
          <w:tcPr>
            <w:tcW w:w="1833" w:type="dxa"/>
            <w:gridSpan w:val="3"/>
            <w:vAlign w:val="center"/>
          </w:tcPr>
          <w:p>
            <w:pPr>
              <w:adjustRightInd/>
              <w:snapToGrid/>
              <w:spacing w:after="0" w:line="36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各类建筑外保温工程</w:t>
            </w:r>
          </w:p>
        </w:tc>
        <w:tc>
          <w:tcPr>
            <w:tcW w:w="2582"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《模塑聚苯板薄抹灰外墙外保温系统材料》GB/T 29906-2013</w:t>
            </w:r>
          </w:p>
        </w:tc>
        <w:tc>
          <w:tcPr>
            <w:tcW w:w="4234"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相关主管部门发布执行标准的文件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0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c>
          <w:tcPr>
            <w:tcW w:w="700" w:type="dxa"/>
            <w:gridSpan w:val="3"/>
            <w:vMerge w:val="continue"/>
            <w:vAlign w:val="center"/>
          </w:tcPr>
          <w:p>
            <w:pPr>
              <w:jc w:val="center"/>
              <w:rPr>
                <w:rFonts w:hint="eastAsia" w:ascii="仿宋_GB2312" w:hAnsi="仿宋_GB2312" w:eastAsia="仿宋_GB2312" w:cs="仿宋_GB2312"/>
                <w:sz w:val="24"/>
                <w:szCs w:val="24"/>
              </w:rPr>
            </w:pPr>
          </w:p>
        </w:tc>
        <w:tc>
          <w:tcPr>
            <w:tcW w:w="1916"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绝热用石墨改性模塑聚苯乙烯泡沫塑料板</w:t>
            </w:r>
          </w:p>
        </w:tc>
        <w:tc>
          <w:tcPr>
            <w:tcW w:w="3484" w:type="dxa"/>
            <w:gridSpan w:val="2"/>
            <w:vAlign w:val="center"/>
          </w:tcPr>
          <w:p>
            <w:pPr>
              <w:adjustRightInd/>
              <w:snapToGrid/>
              <w:spacing w:after="0" w:line="36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导热系数≤0.033 W/（m•K）,燃烧性能不低于B1级。</w:t>
            </w:r>
          </w:p>
        </w:tc>
        <w:tc>
          <w:tcPr>
            <w:tcW w:w="1833"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各类建筑外保温工程</w:t>
            </w:r>
          </w:p>
        </w:tc>
        <w:tc>
          <w:tcPr>
            <w:tcW w:w="2582"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《建筑绝热用石墨改性模塑聚苯乙烯泡沫塑料板》JC/T 2441-2018</w:t>
            </w:r>
          </w:p>
        </w:tc>
        <w:tc>
          <w:tcPr>
            <w:tcW w:w="4234"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相关主管部门发布执行标准的文件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trPr>
        <w:tc>
          <w:tcPr>
            <w:tcW w:w="15449" w:type="dxa"/>
            <w:gridSpan w:val="17"/>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sz w:val="24"/>
                <w:szCs w:val="24"/>
              </w:rPr>
              <w:t>一、推广使用的技术和产品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00"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700" w:type="dxa"/>
            <w:gridSpan w:val="3"/>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类别</w:t>
            </w:r>
          </w:p>
        </w:tc>
        <w:tc>
          <w:tcPr>
            <w:tcW w:w="2616" w:type="dxa"/>
            <w:gridSpan w:val="3"/>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名</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称</w:t>
            </w:r>
          </w:p>
        </w:tc>
        <w:tc>
          <w:tcPr>
            <w:tcW w:w="4000" w:type="dxa"/>
            <w:gridSpan w:val="3"/>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技术、产品特点</w:t>
            </w:r>
          </w:p>
        </w:tc>
        <w:tc>
          <w:tcPr>
            <w:tcW w:w="1467" w:type="dxa"/>
            <w:gridSpan w:val="3"/>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适用范围</w:t>
            </w:r>
          </w:p>
        </w:tc>
        <w:tc>
          <w:tcPr>
            <w:tcW w:w="3733"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执行标准</w:t>
            </w:r>
          </w:p>
        </w:tc>
        <w:tc>
          <w:tcPr>
            <w:tcW w:w="2233" w:type="dxa"/>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依</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0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w:t>
            </w:r>
          </w:p>
        </w:tc>
        <w:tc>
          <w:tcPr>
            <w:tcW w:w="700" w:type="dxa"/>
            <w:gridSpan w:val="3"/>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保温材料</w:t>
            </w:r>
          </w:p>
        </w:tc>
        <w:tc>
          <w:tcPr>
            <w:tcW w:w="2616"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绝热用挤塑聚苯乙烯泡沫塑料板（去皮）</w:t>
            </w:r>
          </w:p>
        </w:tc>
        <w:tc>
          <w:tcPr>
            <w:tcW w:w="4000"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034级导热系数≤0.034 W/（m•K），燃烧性能不低于B1级。</w:t>
            </w:r>
          </w:p>
        </w:tc>
        <w:tc>
          <w:tcPr>
            <w:tcW w:w="1467"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各类建筑外保温工程</w:t>
            </w:r>
          </w:p>
        </w:tc>
        <w:tc>
          <w:tcPr>
            <w:tcW w:w="3733"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《绝热用挤塑聚苯乙烯泡沫塑料》GB/T10801.2-2018</w:t>
            </w:r>
          </w:p>
        </w:tc>
        <w:tc>
          <w:tcPr>
            <w:tcW w:w="2233" w:type="dxa"/>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相关主管部门发布执行标准的文件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0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w:t>
            </w:r>
          </w:p>
        </w:tc>
        <w:tc>
          <w:tcPr>
            <w:tcW w:w="700" w:type="dxa"/>
            <w:gridSpan w:val="3"/>
            <w:vMerge w:val="continue"/>
            <w:vAlign w:val="center"/>
          </w:tcPr>
          <w:p>
            <w:pPr>
              <w:jc w:val="center"/>
              <w:rPr>
                <w:rFonts w:hint="eastAsia" w:ascii="仿宋_GB2312" w:hAnsi="仿宋_GB2312" w:eastAsia="仿宋_GB2312" w:cs="仿宋_GB2312"/>
                <w:sz w:val="24"/>
                <w:szCs w:val="24"/>
              </w:rPr>
            </w:pPr>
          </w:p>
        </w:tc>
        <w:tc>
          <w:tcPr>
            <w:tcW w:w="2616"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绝热用石墨挤塑聚苯乙烯泡沫塑料板（去皮）</w:t>
            </w:r>
          </w:p>
        </w:tc>
        <w:tc>
          <w:tcPr>
            <w:tcW w:w="4000"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导热系数≤0.024 W/（m•K）,燃烧性能不低于B1级。</w:t>
            </w:r>
          </w:p>
        </w:tc>
        <w:tc>
          <w:tcPr>
            <w:tcW w:w="1467"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各类建筑外保温工程</w:t>
            </w:r>
          </w:p>
        </w:tc>
        <w:tc>
          <w:tcPr>
            <w:tcW w:w="3733"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《绝热用挤塑聚苯乙烯泡沫塑料》GB/T10801.2-2018</w:t>
            </w:r>
          </w:p>
        </w:tc>
        <w:tc>
          <w:tcPr>
            <w:tcW w:w="2233" w:type="dxa"/>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相关主管部门发布执行标准的文件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0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w:t>
            </w:r>
          </w:p>
        </w:tc>
        <w:tc>
          <w:tcPr>
            <w:tcW w:w="700" w:type="dxa"/>
            <w:gridSpan w:val="3"/>
            <w:vMerge w:val="continue"/>
            <w:vAlign w:val="center"/>
          </w:tcPr>
          <w:p>
            <w:pPr>
              <w:jc w:val="center"/>
              <w:rPr>
                <w:rFonts w:hint="eastAsia" w:ascii="仿宋_GB2312" w:hAnsi="仿宋_GB2312" w:eastAsia="仿宋_GB2312" w:cs="仿宋_GB2312"/>
                <w:sz w:val="24"/>
                <w:szCs w:val="24"/>
              </w:rPr>
            </w:pPr>
          </w:p>
        </w:tc>
        <w:tc>
          <w:tcPr>
            <w:tcW w:w="2616"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绝热用硬质聚氨酯泡沫塑料板（PIR板）</w:t>
            </w:r>
          </w:p>
        </w:tc>
        <w:tc>
          <w:tcPr>
            <w:tcW w:w="4000"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导热系数≤0.024 W/（m•K），燃烧性能不低于B1级。</w:t>
            </w:r>
          </w:p>
        </w:tc>
        <w:tc>
          <w:tcPr>
            <w:tcW w:w="1467" w:type="dxa"/>
            <w:gridSpan w:val="3"/>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各类建筑外保温工程</w:t>
            </w:r>
          </w:p>
        </w:tc>
        <w:tc>
          <w:tcPr>
            <w:tcW w:w="3733" w:type="dxa"/>
            <w:gridSpan w:val="2"/>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《建筑绝热用硬质聚氨酯泡沫塑料》GB/T 21558-2008、《聚氨酯硬泡复合保温板》JG/T 314-2012</w:t>
            </w:r>
          </w:p>
        </w:tc>
        <w:tc>
          <w:tcPr>
            <w:tcW w:w="2233" w:type="dxa"/>
            <w:vAlign w:val="center"/>
          </w:tcPr>
          <w:p>
            <w:pPr>
              <w:adjustRightInd/>
              <w:snapToGrid/>
              <w:spacing w:after="0" w:line="360" w:lineRule="exac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相关主管部门发布执行标准的文件</w:t>
            </w:r>
          </w:p>
        </w:tc>
      </w:tr>
    </w:tbl>
    <w:p/>
    <w:tbl>
      <w:tblPr>
        <w:tblStyle w:val="16"/>
        <w:tblW w:w="15499" w:type="dxa"/>
        <w:tblInd w:w="-7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617"/>
        <w:gridCol w:w="3083"/>
        <w:gridCol w:w="5217"/>
        <w:gridCol w:w="3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15499" w:type="dxa"/>
            <w:gridSpan w:val="5"/>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二、限制使用的技术和产品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33" w:type="dxa"/>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2617" w:type="dxa"/>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技术和产品名称</w:t>
            </w:r>
          </w:p>
        </w:tc>
        <w:tc>
          <w:tcPr>
            <w:tcW w:w="3083" w:type="dxa"/>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限制使用的原因</w:t>
            </w:r>
          </w:p>
        </w:tc>
        <w:tc>
          <w:tcPr>
            <w:tcW w:w="5217" w:type="dxa"/>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限制使用的范围</w:t>
            </w:r>
          </w:p>
        </w:tc>
        <w:tc>
          <w:tcPr>
            <w:tcW w:w="3849" w:type="dxa"/>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依</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33" w:type="dxa"/>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2617"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保温装饰一体板外墙外保温系统</w:t>
            </w:r>
          </w:p>
        </w:tc>
        <w:tc>
          <w:tcPr>
            <w:tcW w:w="3083"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与基层墙体采用粘锚方式固定，装饰一体板自身重量大。</w:t>
            </w:r>
          </w:p>
        </w:tc>
        <w:tc>
          <w:tcPr>
            <w:tcW w:w="5217"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可在砌体结构中使用，确需在其他结构中使用时，当采用Ⅰ型保温装饰一体板的外墙外保温系统，公共建筑与工业建筑的使用高度不应大于 50m，住宅建筑的使用高度不应大于 54m；采用Ⅱ型保温装饰一体板的外墙外保温系统，公共建筑与工业建筑的使用高度不应大于24m，住宅建筑的使用高度不应大于27m。当使用高度超出限值时，应做为单项工程另行设计。</w:t>
            </w:r>
          </w:p>
        </w:tc>
        <w:tc>
          <w:tcPr>
            <w:tcW w:w="3849"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《关于进一步加强自治区建筑保温与结构一体化技术推广应用的通知》（新建科[2020]20号）、《保温装饰一体板应用技术标准》（XJJ113-2019）、《保温防火复合板应用技术规程》（JGJ/T 350-2015）</w:t>
            </w:r>
          </w:p>
        </w:tc>
      </w:tr>
    </w:tbl>
    <w:p/>
    <w:tbl>
      <w:tblPr>
        <w:tblStyle w:val="16"/>
        <w:tblW w:w="15499" w:type="dxa"/>
        <w:tblInd w:w="-7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
        <w:gridCol w:w="567"/>
        <w:gridCol w:w="183"/>
        <w:gridCol w:w="2100"/>
        <w:gridCol w:w="5050"/>
        <w:gridCol w:w="184"/>
        <w:gridCol w:w="2533"/>
        <w:gridCol w:w="867"/>
        <w:gridCol w:w="3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15499" w:type="dxa"/>
            <w:gridSpan w:val="9"/>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二、限制使用的技术和产品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33"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2283"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技术和产品名称</w:t>
            </w:r>
          </w:p>
        </w:tc>
        <w:tc>
          <w:tcPr>
            <w:tcW w:w="5234"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限制使用的原因</w:t>
            </w:r>
          </w:p>
        </w:tc>
        <w:tc>
          <w:tcPr>
            <w:tcW w:w="3400"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限制使用的范围</w:t>
            </w:r>
          </w:p>
        </w:tc>
        <w:tc>
          <w:tcPr>
            <w:tcW w:w="3849" w:type="dxa"/>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依</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sz w:val="24"/>
                <w:szCs w:val="24"/>
              </w:rPr>
              <w:t>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33"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2</w:t>
            </w:r>
          </w:p>
        </w:tc>
        <w:tc>
          <w:tcPr>
            <w:tcW w:w="2283"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施工现场采用胶粘剂或锚栓以及两种方式组合的施工工艺外墙外保温系统</w:t>
            </w:r>
          </w:p>
        </w:tc>
        <w:tc>
          <w:tcPr>
            <w:tcW w:w="5234"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粘贴式外墙保温系统存在脱落、空鼓、开裂、渗漏现象，防火性能差，存在安全隐患和质量问题。</w:t>
            </w:r>
          </w:p>
        </w:tc>
        <w:tc>
          <w:tcPr>
            <w:tcW w:w="3400"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仅适用于砌体结构</w:t>
            </w:r>
          </w:p>
        </w:tc>
        <w:tc>
          <w:tcPr>
            <w:tcW w:w="3849"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《关于进一步加强自治区建筑保温与结构一体化技术推广应用的通知》（新建科[2020]20号）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33"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2283"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浆料类保温材料</w:t>
            </w:r>
          </w:p>
        </w:tc>
        <w:tc>
          <w:tcPr>
            <w:tcW w:w="5234"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单独使用质量不易控制、保温性能差、难以满足建筑节能标准要求。</w:t>
            </w:r>
          </w:p>
        </w:tc>
        <w:tc>
          <w:tcPr>
            <w:tcW w:w="3400"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严寒地区外墙保温工程不得使用浆体保温材料，寒冷地区不得单独使用，可与其它保温材料复合使用，厚度不得大于50mm。</w:t>
            </w:r>
          </w:p>
        </w:tc>
        <w:tc>
          <w:tcPr>
            <w:tcW w:w="3849"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《新疆维吾尔自治区建筑外保温系统材料应用防火暂行规定》（新公消[2018]8号）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33"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2283"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泡沫玻璃板</w:t>
            </w:r>
          </w:p>
        </w:tc>
        <w:tc>
          <w:tcPr>
            <w:tcW w:w="5234"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单独用于外墙保温时，保温性能难以满足严寒和寒冷地区建筑工程外墙外保温系统标准要求。</w:t>
            </w:r>
          </w:p>
        </w:tc>
        <w:tc>
          <w:tcPr>
            <w:tcW w:w="3400"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仅适用于防火隔离带和屋面</w:t>
            </w:r>
          </w:p>
        </w:tc>
        <w:tc>
          <w:tcPr>
            <w:tcW w:w="3849"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33"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c>
          <w:tcPr>
            <w:tcW w:w="2283"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发泡陶瓷保温板</w:t>
            </w:r>
          </w:p>
        </w:tc>
        <w:tc>
          <w:tcPr>
            <w:tcW w:w="5234"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单独用于外墙保温时，保温性能难以满足严寒和寒冷地区建筑工程外墙外保温系统标准要求。</w:t>
            </w:r>
          </w:p>
        </w:tc>
        <w:tc>
          <w:tcPr>
            <w:tcW w:w="3400"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仅适用于防火隔离带和屋面</w:t>
            </w:r>
          </w:p>
        </w:tc>
        <w:tc>
          <w:tcPr>
            <w:tcW w:w="3849" w:type="dxa"/>
            <w:vAlign w:val="center"/>
          </w:tcPr>
          <w:p>
            <w:pPr>
              <w:adjustRightInd/>
              <w:snapToGrid/>
              <w:spacing w:after="0"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33"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w:t>
            </w:r>
          </w:p>
        </w:tc>
        <w:tc>
          <w:tcPr>
            <w:tcW w:w="2283"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热固复合聚苯板高密度型（G型）</w:t>
            </w:r>
          </w:p>
        </w:tc>
        <w:tc>
          <w:tcPr>
            <w:tcW w:w="5234"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密度和吸水率大，单独用于外墙保温时，性能难以满足严寒和寒冷地区建筑工程外墙外保温系统标准要求。</w:t>
            </w:r>
          </w:p>
        </w:tc>
        <w:tc>
          <w:tcPr>
            <w:tcW w:w="3400"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仅适用于防火隔离带</w:t>
            </w:r>
          </w:p>
        </w:tc>
        <w:tc>
          <w:tcPr>
            <w:tcW w:w="3849" w:type="dxa"/>
            <w:vAlign w:val="center"/>
          </w:tcPr>
          <w:p>
            <w:pPr>
              <w:adjustRightInd/>
              <w:snapToGrid/>
              <w:spacing w:after="0"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33"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c>
          <w:tcPr>
            <w:tcW w:w="2283"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绝热用挤塑聚苯乙烯泡沫塑料板（带皮）</w:t>
            </w:r>
          </w:p>
        </w:tc>
        <w:tc>
          <w:tcPr>
            <w:tcW w:w="5234"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粘结性差，存在安全隐患。</w:t>
            </w:r>
          </w:p>
        </w:tc>
        <w:tc>
          <w:tcPr>
            <w:tcW w:w="3400"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仅适用于屋面</w:t>
            </w:r>
          </w:p>
        </w:tc>
        <w:tc>
          <w:tcPr>
            <w:tcW w:w="3849" w:type="dxa"/>
            <w:vAlign w:val="center"/>
          </w:tcPr>
          <w:p>
            <w:pPr>
              <w:adjustRightInd/>
              <w:snapToGrid/>
              <w:spacing w:after="0"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trPr>
        <w:tc>
          <w:tcPr>
            <w:tcW w:w="733"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w:t>
            </w:r>
          </w:p>
        </w:tc>
        <w:tc>
          <w:tcPr>
            <w:tcW w:w="2283"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玻璃棉及其制品</w:t>
            </w:r>
          </w:p>
        </w:tc>
        <w:tc>
          <w:tcPr>
            <w:tcW w:w="5234"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吸水率较大、抗拉强度低、易变形，耐久性差。</w:t>
            </w:r>
          </w:p>
        </w:tc>
        <w:tc>
          <w:tcPr>
            <w:tcW w:w="3400"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仅适用于建筑幕墙保温系统</w:t>
            </w:r>
          </w:p>
        </w:tc>
        <w:tc>
          <w:tcPr>
            <w:tcW w:w="3849" w:type="dxa"/>
            <w:vAlign w:val="center"/>
          </w:tcPr>
          <w:p>
            <w:pPr>
              <w:adjustRightInd/>
              <w:snapToGrid/>
              <w:spacing w:after="0"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66" w:type="dxa"/>
          <w:trHeight w:val="554" w:hRule="atLeast"/>
        </w:trPr>
        <w:tc>
          <w:tcPr>
            <w:tcW w:w="15333" w:type="dxa"/>
            <w:gridSpan w:val="8"/>
            <w:vAlign w:val="center"/>
          </w:tcPr>
          <w:p>
            <w:pPr>
              <w:adjustRightInd/>
              <w:snapToGrid/>
              <w:spacing w:after="0" w:line="360" w:lineRule="exact"/>
              <w:jc w:val="center"/>
              <w:rPr>
                <w:rFonts w:hint="eastAsia" w:ascii="宋体" w:hAnsi="宋体" w:eastAsia="宋体" w:cs="宋体"/>
                <w:b/>
                <w:bCs/>
                <w:sz w:val="24"/>
                <w:szCs w:val="24"/>
              </w:rPr>
            </w:pPr>
            <w:r>
              <w:rPr>
                <w:rFonts w:hint="eastAsia" w:ascii="宋体" w:hAnsi="宋体" w:eastAsia="宋体" w:cs="宋体"/>
                <w:b/>
                <w:bCs/>
                <w:color w:val="000000"/>
                <w:sz w:val="24"/>
                <w:szCs w:val="24"/>
              </w:rPr>
              <w:t>三、禁止使用的技术和产品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66" w:type="dxa"/>
          <w:trHeight w:val="145" w:hRule="atLeast"/>
        </w:trPr>
        <w:tc>
          <w:tcPr>
            <w:tcW w:w="750" w:type="dxa"/>
            <w:gridSpan w:val="2"/>
            <w:vAlign w:val="center"/>
          </w:tcPr>
          <w:p>
            <w:pPr>
              <w:adjustRightInd/>
              <w:snapToGrid/>
              <w:spacing w:after="0" w:line="360" w:lineRule="exac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2100" w:type="dxa"/>
            <w:vAlign w:val="center"/>
          </w:tcPr>
          <w:p>
            <w:pPr>
              <w:adjustRightInd/>
              <w:snapToGrid/>
              <w:spacing w:after="0" w:line="360" w:lineRule="exact"/>
              <w:jc w:val="center"/>
              <w:rPr>
                <w:rFonts w:hint="eastAsia" w:ascii="宋体" w:hAnsi="宋体" w:eastAsia="宋体" w:cs="宋体"/>
                <w:b/>
                <w:bCs/>
                <w:sz w:val="24"/>
                <w:szCs w:val="24"/>
              </w:rPr>
            </w:pPr>
            <w:r>
              <w:rPr>
                <w:rFonts w:hint="eastAsia" w:ascii="宋体" w:hAnsi="宋体" w:eastAsia="宋体" w:cs="宋体"/>
                <w:b/>
                <w:bCs/>
                <w:sz w:val="24"/>
                <w:szCs w:val="24"/>
              </w:rPr>
              <w:t>技术和产品名称</w:t>
            </w:r>
          </w:p>
        </w:tc>
        <w:tc>
          <w:tcPr>
            <w:tcW w:w="5050" w:type="dxa"/>
            <w:vAlign w:val="center"/>
          </w:tcPr>
          <w:p>
            <w:pPr>
              <w:adjustRightInd/>
              <w:snapToGrid/>
              <w:spacing w:after="0" w:line="360" w:lineRule="exact"/>
              <w:jc w:val="center"/>
              <w:rPr>
                <w:rFonts w:hint="eastAsia" w:ascii="宋体" w:hAnsi="宋体" w:eastAsia="宋体" w:cs="宋体"/>
                <w:b/>
                <w:bCs/>
                <w:sz w:val="24"/>
                <w:szCs w:val="24"/>
              </w:rPr>
            </w:pPr>
            <w:r>
              <w:rPr>
                <w:rFonts w:hint="eastAsia" w:ascii="宋体" w:hAnsi="宋体" w:eastAsia="宋体" w:cs="宋体"/>
                <w:b/>
                <w:bCs/>
                <w:sz w:val="24"/>
                <w:szCs w:val="24"/>
              </w:rPr>
              <w:t>禁止使用的原因</w:t>
            </w:r>
          </w:p>
        </w:tc>
        <w:tc>
          <w:tcPr>
            <w:tcW w:w="2717" w:type="dxa"/>
            <w:gridSpan w:val="2"/>
            <w:vAlign w:val="center"/>
          </w:tcPr>
          <w:p>
            <w:pPr>
              <w:adjustRightInd/>
              <w:snapToGrid/>
              <w:spacing w:after="0" w:line="360" w:lineRule="exact"/>
              <w:jc w:val="center"/>
              <w:rPr>
                <w:rFonts w:hint="eastAsia" w:ascii="宋体" w:hAnsi="宋体" w:eastAsia="宋体" w:cs="宋体"/>
                <w:b/>
                <w:bCs/>
                <w:sz w:val="24"/>
                <w:szCs w:val="24"/>
              </w:rPr>
            </w:pPr>
            <w:r>
              <w:rPr>
                <w:rFonts w:hint="eastAsia" w:ascii="宋体" w:hAnsi="宋体" w:eastAsia="宋体" w:cs="宋体"/>
                <w:b/>
                <w:bCs/>
                <w:sz w:val="24"/>
                <w:szCs w:val="24"/>
              </w:rPr>
              <w:t>禁止使用的范围</w:t>
            </w:r>
          </w:p>
        </w:tc>
        <w:tc>
          <w:tcPr>
            <w:tcW w:w="4716" w:type="dxa"/>
            <w:gridSpan w:val="2"/>
            <w:vAlign w:val="center"/>
          </w:tcPr>
          <w:p>
            <w:pPr>
              <w:adjustRightInd/>
              <w:snapToGrid/>
              <w:spacing w:after="0" w:line="360" w:lineRule="exact"/>
              <w:jc w:val="center"/>
              <w:rPr>
                <w:rFonts w:hint="eastAsia" w:ascii="宋体" w:hAnsi="宋体" w:eastAsia="宋体" w:cs="宋体"/>
                <w:b/>
                <w:bCs/>
                <w:sz w:val="24"/>
                <w:szCs w:val="24"/>
              </w:rPr>
            </w:pPr>
            <w:r>
              <w:rPr>
                <w:rFonts w:hint="eastAsia" w:ascii="宋体" w:hAnsi="宋体" w:eastAsia="宋体" w:cs="宋体"/>
                <w:b/>
                <w:bCs/>
                <w:sz w:val="24"/>
                <w:szCs w:val="24"/>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66" w:type="dxa"/>
          <w:trHeight w:val="145" w:hRule="atLeast"/>
        </w:trPr>
        <w:tc>
          <w:tcPr>
            <w:tcW w:w="75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2100" w:type="dxa"/>
            <w:vAlign w:val="center"/>
          </w:tcPr>
          <w:p>
            <w:pPr>
              <w:adjustRightInd/>
              <w:snapToGrid/>
              <w:spacing w:after="0"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芯材为B级材料的金属夹芯复合板材</w:t>
            </w:r>
          </w:p>
        </w:tc>
        <w:tc>
          <w:tcPr>
            <w:tcW w:w="5050"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易燃、防火性能差。</w:t>
            </w:r>
          </w:p>
        </w:tc>
        <w:tc>
          <w:tcPr>
            <w:tcW w:w="2717"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禁止用于各类建筑外保温工程</w:t>
            </w:r>
          </w:p>
        </w:tc>
        <w:tc>
          <w:tcPr>
            <w:tcW w:w="4716"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《建筑设计防火规范》GB 50016-2014（2018版）、《新疆维吾尔自治区建筑外保温系统材料应用防火暂行规定》（新公消[2018]8号）、《建设工程施工现场消防安全技术规范》GB50720-2011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66" w:type="dxa"/>
          <w:trHeight w:val="852" w:hRule="atLeast"/>
        </w:trPr>
        <w:tc>
          <w:tcPr>
            <w:tcW w:w="75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2100"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非耐碱型玻璃纤维网布</w:t>
            </w:r>
          </w:p>
        </w:tc>
        <w:tc>
          <w:tcPr>
            <w:tcW w:w="5050"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产品质量不稳定、耐久性差，很难保证砂浆层抗裂性能要求。</w:t>
            </w:r>
          </w:p>
        </w:tc>
        <w:tc>
          <w:tcPr>
            <w:tcW w:w="2717"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禁止用于外墙保温系统</w:t>
            </w:r>
          </w:p>
        </w:tc>
        <w:tc>
          <w:tcPr>
            <w:tcW w:w="4716"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66" w:type="dxa"/>
          <w:trHeight w:val="1159" w:hRule="atLeast"/>
        </w:trPr>
        <w:tc>
          <w:tcPr>
            <w:tcW w:w="75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c>
          <w:tcPr>
            <w:tcW w:w="2100"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发泡水泥保温板</w:t>
            </w:r>
          </w:p>
        </w:tc>
        <w:tc>
          <w:tcPr>
            <w:tcW w:w="5050"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表观密度、吸水率及导热系数偏大，强度低，安全性和耐久性差，保温性能难以满足严寒和寒冷地区建筑工程外墙外保温系统标准要求。</w:t>
            </w:r>
          </w:p>
        </w:tc>
        <w:tc>
          <w:tcPr>
            <w:tcW w:w="2717"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禁止用于各类建筑外保温工程</w:t>
            </w:r>
          </w:p>
        </w:tc>
        <w:tc>
          <w:tcPr>
            <w:tcW w:w="4716"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66" w:type="dxa"/>
          <w:trHeight w:val="1079" w:hRule="atLeast"/>
        </w:trPr>
        <w:tc>
          <w:tcPr>
            <w:tcW w:w="75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p>
        </w:tc>
        <w:tc>
          <w:tcPr>
            <w:tcW w:w="2100"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燃烧性能低于B1级的保温材料</w:t>
            </w:r>
          </w:p>
        </w:tc>
        <w:tc>
          <w:tcPr>
            <w:tcW w:w="5050" w:type="dxa"/>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易燃、防火性能差。</w:t>
            </w:r>
          </w:p>
        </w:tc>
        <w:tc>
          <w:tcPr>
            <w:tcW w:w="2717"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禁止用于各类建筑外保温工程</w:t>
            </w:r>
          </w:p>
        </w:tc>
        <w:tc>
          <w:tcPr>
            <w:tcW w:w="4716"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《新疆维吾尔自治区消防条例》、《新疆维吾尔自治区建筑外保温系统材料应用防火暂行规定》（新公消[2018]8号）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66" w:type="dxa"/>
          <w:trHeight w:val="1249" w:hRule="atLeast"/>
        </w:trPr>
        <w:tc>
          <w:tcPr>
            <w:tcW w:w="750" w:type="dxa"/>
            <w:gridSpan w:val="2"/>
            <w:vAlign w:val="center"/>
          </w:tcPr>
          <w:p>
            <w:pPr>
              <w:adjustRightInd/>
              <w:snapToGrid/>
              <w:spacing w:after="0"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c>
          <w:tcPr>
            <w:tcW w:w="2100" w:type="dxa"/>
            <w:vAlign w:val="center"/>
          </w:tcPr>
          <w:p>
            <w:pPr>
              <w:adjustRightInd/>
              <w:snapToGrid/>
              <w:spacing w:after="0"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采用六溴环十二烷为阻燃剂生产的保温材料</w:t>
            </w:r>
          </w:p>
        </w:tc>
        <w:tc>
          <w:tcPr>
            <w:tcW w:w="5050" w:type="dxa"/>
            <w:vAlign w:val="center"/>
          </w:tcPr>
          <w:p>
            <w:pPr>
              <w:adjustRightInd/>
              <w:snapToGrid/>
              <w:spacing w:after="0"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对人体和环境存在危害风险。</w:t>
            </w:r>
          </w:p>
        </w:tc>
        <w:tc>
          <w:tcPr>
            <w:tcW w:w="2717" w:type="dxa"/>
            <w:gridSpan w:val="2"/>
            <w:vAlign w:val="center"/>
          </w:tcPr>
          <w:p>
            <w:pPr>
              <w:adjustRightInd/>
              <w:snapToGrid/>
              <w:spacing w:after="0"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禁止用于各类工程</w:t>
            </w:r>
          </w:p>
        </w:tc>
        <w:tc>
          <w:tcPr>
            <w:tcW w:w="4716" w:type="dxa"/>
            <w:gridSpan w:val="2"/>
            <w:vAlign w:val="center"/>
          </w:tcPr>
          <w:p>
            <w:pPr>
              <w:adjustRightInd/>
              <w:snapToGrid/>
              <w:spacing w:after="0"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《中华人民共和国履行&lt;关于持久性有机污染物斯德哥尔摩公约&gt;国家实施计划（增补版）的通知》（环固体[2018]167号）</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swiss"/>
    <w:pitch w:val="default"/>
    <w:sig w:usb0="80000287" w:usb1="2A0F3C52"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074"/>
    <w:rsid w:val="00004B21"/>
    <w:rsid w:val="00114614"/>
    <w:rsid w:val="002C3A52"/>
    <w:rsid w:val="004A6E48"/>
    <w:rsid w:val="004B7074"/>
    <w:rsid w:val="0083437D"/>
    <w:rsid w:val="0092694C"/>
    <w:rsid w:val="00CE328A"/>
    <w:rsid w:val="00DC5385"/>
    <w:rsid w:val="00ED3CAE"/>
    <w:rsid w:val="00F159B1"/>
    <w:rsid w:val="06190D35"/>
    <w:rsid w:val="0D2D0DC2"/>
    <w:rsid w:val="1CA3407C"/>
    <w:rsid w:val="224C1868"/>
    <w:rsid w:val="25440E46"/>
    <w:rsid w:val="32E71A05"/>
    <w:rsid w:val="44E76B0B"/>
    <w:rsid w:val="4A5F55FC"/>
    <w:rsid w:val="6B854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unhideWhenUsed/>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4">
    <w:name w:val="annotation text"/>
    <w:basedOn w:val="1"/>
    <w:link w:val="20"/>
    <w:unhideWhenUsed/>
    <w:qFormat/>
    <w:uiPriority w:val="99"/>
    <w:rPr>
      <w:szCs w:val="20"/>
    </w:rPr>
  </w:style>
  <w:style w:type="paragraph" w:styleId="5">
    <w:name w:val="toc 3"/>
    <w:basedOn w:val="1"/>
    <w:next w:val="1"/>
    <w:unhideWhenUsed/>
    <w:qFormat/>
    <w:uiPriority w:val="39"/>
    <w:pPr>
      <w:adjustRightInd/>
      <w:snapToGrid/>
      <w:spacing w:after="100" w:line="276" w:lineRule="auto"/>
      <w:ind w:left="440"/>
    </w:pPr>
    <w:rPr>
      <w:rFonts w:asciiTheme="minorHAnsi" w:hAnsiTheme="minorHAnsi" w:eastAsiaTheme="minorEastAsia" w:cstheme="minorBidi"/>
    </w:rPr>
  </w:style>
  <w:style w:type="paragraph" w:styleId="6">
    <w:name w:val="Date"/>
    <w:basedOn w:val="1"/>
    <w:next w:val="1"/>
    <w:link w:val="23"/>
    <w:unhideWhenUsed/>
    <w:qFormat/>
    <w:uiPriority w:val="99"/>
    <w:pPr>
      <w:ind w:left="100" w:leftChars="2500"/>
    </w:pPr>
    <w:rPr>
      <w:szCs w:val="20"/>
    </w:rPr>
  </w:style>
  <w:style w:type="paragraph" w:styleId="7">
    <w:name w:val="Balloon Text"/>
    <w:basedOn w:val="1"/>
    <w:link w:val="24"/>
    <w:unhideWhenUsed/>
    <w:qFormat/>
    <w:uiPriority w:val="99"/>
    <w:pPr>
      <w:spacing w:after="0"/>
    </w:pPr>
    <w:rPr>
      <w:sz w:val="18"/>
      <w:szCs w:val="18"/>
    </w:rPr>
  </w:style>
  <w:style w:type="paragraph" w:styleId="8">
    <w:name w:val="footer"/>
    <w:basedOn w:val="1"/>
    <w:link w:val="22"/>
    <w:unhideWhenUsed/>
    <w:qFormat/>
    <w:uiPriority w:val="99"/>
    <w:pPr>
      <w:tabs>
        <w:tab w:val="center" w:pos="4153"/>
        <w:tab w:val="right" w:pos="8306"/>
      </w:tabs>
      <w:spacing w:line="240" w:lineRule="atLeast"/>
    </w:pPr>
    <w:rPr>
      <w:rFonts w:ascii="Times New Roman" w:hAnsi="Times New Roman" w:eastAsia="宋体"/>
      <w:sz w:val="18"/>
      <w:szCs w:val="18"/>
    </w:rPr>
  </w:style>
  <w:style w:type="paragraph" w:styleId="9">
    <w:name w:val="header"/>
    <w:basedOn w:val="1"/>
    <w:link w:val="21"/>
    <w:unhideWhenUsed/>
    <w:qFormat/>
    <w:uiPriority w:val="99"/>
    <w:pPr>
      <w:pBdr>
        <w:bottom w:val="single" w:color="auto" w:sz="6" w:space="1"/>
      </w:pBdr>
      <w:tabs>
        <w:tab w:val="center" w:pos="4153"/>
        <w:tab w:val="right" w:pos="8306"/>
      </w:tabs>
      <w:spacing w:line="240" w:lineRule="atLeast"/>
      <w:jc w:val="center"/>
    </w:pPr>
    <w:rPr>
      <w:rFonts w:ascii="Times New Roman" w:hAnsi="Times New Roman" w:eastAsia="宋体"/>
      <w:sz w:val="18"/>
      <w:szCs w:val="18"/>
    </w:rPr>
  </w:style>
  <w:style w:type="paragraph" w:styleId="10">
    <w:name w:val="toc 1"/>
    <w:basedOn w:val="1"/>
    <w:next w:val="1"/>
    <w:unhideWhenUsed/>
    <w:qFormat/>
    <w:uiPriority w:val="39"/>
    <w:pPr>
      <w:adjustRightInd/>
      <w:snapToGrid/>
      <w:spacing w:after="100" w:line="276" w:lineRule="auto"/>
    </w:pPr>
    <w:rPr>
      <w:rFonts w:asciiTheme="minorHAnsi" w:hAnsiTheme="minorHAnsi" w:eastAsiaTheme="minorEastAsia" w:cstheme="minorBidi"/>
    </w:rPr>
  </w:style>
  <w:style w:type="paragraph" w:styleId="11">
    <w:name w:val="toc 2"/>
    <w:basedOn w:val="1"/>
    <w:next w:val="1"/>
    <w:unhideWhenUsed/>
    <w:qFormat/>
    <w:uiPriority w:val="39"/>
    <w:pPr>
      <w:adjustRightInd/>
      <w:snapToGrid/>
      <w:spacing w:after="100" w:line="276" w:lineRule="auto"/>
      <w:ind w:left="220"/>
    </w:pPr>
    <w:rPr>
      <w:rFonts w:asciiTheme="minorHAnsi" w:hAnsiTheme="minorHAnsi" w:eastAsiaTheme="minorEastAsia" w:cstheme="minorBidi"/>
    </w:rPr>
  </w:style>
  <w:style w:type="paragraph" w:styleId="12">
    <w:name w:val="Normal (Web)"/>
    <w:basedOn w:val="1"/>
    <w:unhideWhenUsed/>
    <w:qFormat/>
    <w:uiPriority w:val="0"/>
    <w:pPr>
      <w:adjustRightInd/>
      <w:snapToGrid/>
      <w:spacing w:before="100" w:beforeAutospacing="1" w:after="100" w:afterAutospacing="1"/>
    </w:pPr>
    <w:rPr>
      <w:rFonts w:ascii="宋体" w:hAnsi="宋体" w:eastAsia="宋体" w:cs="宋体"/>
      <w:sz w:val="24"/>
      <w:szCs w:val="24"/>
    </w:rPr>
  </w:style>
  <w:style w:type="character" w:styleId="14">
    <w:name w:val="annotation reference"/>
    <w:basedOn w:val="13"/>
    <w:unhideWhenUsed/>
    <w:qFormat/>
    <w:uiPriority w:val="99"/>
    <w:rPr>
      <w:sz w:val="21"/>
      <w:szCs w:val="21"/>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kern w:val="2"/>
      <w:sz w:val="24"/>
      <w:szCs w:val="24"/>
    </w:rPr>
  </w:style>
  <w:style w:type="character" w:customStyle="1" w:styleId="18">
    <w:name w:val="标题 1 Char"/>
    <w:basedOn w:val="13"/>
    <w:link w:val="2"/>
    <w:qFormat/>
    <w:uiPriority w:val="9"/>
    <w:rPr>
      <w:rFonts w:ascii="Tahoma" w:hAnsi="Tahoma" w:eastAsia="微软雅黑"/>
      <w:b/>
      <w:bCs/>
      <w:kern w:val="44"/>
      <w:sz w:val="44"/>
      <w:szCs w:val="44"/>
    </w:rPr>
  </w:style>
  <w:style w:type="character" w:customStyle="1" w:styleId="19">
    <w:name w:val="标题 2 Char"/>
    <w:basedOn w:val="13"/>
    <w:link w:val="3"/>
    <w:uiPriority w:val="9"/>
    <w:rPr>
      <w:rFonts w:asciiTheme="majorHAnsi" w:hAnsiTheme="majorHAnsi" w:eastAsiaTheme="majorEastAsia" w:cstheme="majorBidi"/>
      <w:b/>
      <w:bCs/>
      <w:sz w:val="32"/>
      <w:szCs w:val="32"/>
    </w:rPr>
  </w:style>
  <w:style w:type="character" w:customStyle="1" w:styleId="20">
    <w:name w:val="批注文字 Char"/>
    <w:basedOn w:val="13"/>
    <w:link w:val="4"/>
    <w:semiHidden/>
    <w:qFormat/>
    <w:uiPriority w:val="99"/>
    <w:rPr>
      <w:rFonts w:ascii="Tahoma" w:hAnsi="Tahoma" w:eastAsia="微软雅黑"/>
      <w:sz w:val="22"/>
    </w:rPr>
  </w:style>
  <w:style w:type="character" w:customStyle="1" w:styleId="21">
    <w:name w:val="页眉 Char"/>
    <w:basedOn w:val="13"/>
    <w:link w:val="9"/>
    <w:qFormat/>
    <w:uiPriority w:val="99"/>
    <w:rPr>
      <w:sz w:val="18"/>
      <w:szCs w:val="18"/>
    </w:rPr>
  </w:style>
  <w:style w:type="character" w:customStyle="1" w:styleId="22">
    <w:name w:val="页脚 Char"/>
    <w:basedOn w:val="13"/>
    <w:link w:val="8"/>
    <w:qFormat/>
    <w:uiPriority w:val="99"/>
    <w:rPr>
      <w:sz w:val="18"/>
      <w:szCs w:val="18"/>
    </w:rPr>
  </w:style>
  <w:style w:type="character" w:customStyle="1" w:styleId="23">
    <w:name w:val="日期 Char"/>
    <w:basedOn w:val="13"/>
    <w:link w:val="6"/>
    <w:semiHidden/>
    <w:qFormat/>
    <w:uiPriority w:val="99"/>
    <w:rPr>
      <w:rFonts w:ascii="Tahoma" w:hAnsi="Tahoma" w:eastAsia="微软雅黑"/>
      <w:sz w:val="22"/>
    </w:rPr>
  </w:style>
  <w:style w:type="character" w:customStyle="1" w:styleId="24">
    <w:name w:val="批注框文本 Char"/>
    <w:basedOn w:val="13"/>
    <w:link w:val="7"/>
    <w:semiHidden/>
    <w:qFormat/>
    <w:uiPriority w:val="99"/>
    <w:rPr>
      <w:rFonts w:ascii="Tahoma" w:hAnsi="Tahoma" w:eastAsia="微软雅黑"/>
      <w:sz w:val="18"/>
      <w:szCs w:val="18"/>
    </w:rPr>
  </w:style>
  <w:style w:type="character" w:customStyle="1" w:styleId="25">
    <w:name w:val="Placeholder Text"/>
    <w:basedOn w:val="13"/>
    <w:semiHidden/>
    <w:qFormat/>
    <w:uiPriority w:val="99"/>
    <w:rPr>
      <w:color w:val="808080"/>
    </w:rPr>
  </w:style>
  <w:style w:type="paragraph" w:customStyle="1" w:styleId="26">
    <w:name w:val="List Paragraph"/>
    <w:basedOn w:val="1"/>
    <w:qFormat/>
    <w:uiPriority w:val="34"/>
    <w:pPr>
      <w:ind w:firstLine="420" w:firstLineChars="200"/>
    </w:pPr>
  </w:style>
  <w:style w:type="paragraph" w:customStyle="1" w:styleId="27">
    <w:name w:val="TOC Heading"/>
    <w:basedOn w:val="2"/>
    <w:next w:val="1"/>
    <w:unhideWhenUsed/>
    <w:qFormat/>
    <w:uiPriority w:val="39"/>
    <w:pPr>
      <w:adjustRightInd/>
      <w:snapToGrid/>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513</Words>
  <Characters>2926</Characters>
  <Lines>24</Lines>
  <Paragraphs>6</Paragraphs>
  <ScaleCrop>false</ScaleCrop>
  <LinksUpToDate>false</LinksUpToDate>
  <CharactersWithSpaces>3433</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2021-04-13T10:20:00Z</dcterms:created>
  <dc:creator>孔维亮</dc:creator>
  <cp:lastModifiedBy>Administrator</cp:lastModifiedBy>
  <cp:lastPrinted>2021-04-14T10:43:07Z</cp:lastPrinted>
  <dcterms:modified xsi:type="dcterms:W3CDTF">2021-04-14T10:43:11Z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