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mbeddings/Microsoft_Visio_2003-2010___1.vsd" ContentType="application/vnd.visio"/>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b w:val="0"/>
          <w:bCs w:val="0"/>
          <w:sz w:val="24"/>
          <w:szCs w:val="24"/>
          <w:lang w:val="zh-CN"/>
        </w:rPr>
        <w:id w:val="-1072034061"/>
        <w:docPartObj>
          <w:docPartGallery w:val="Table of Contents"/>
          <w:docPartUnique/>
        </w:docPartObj>
      </w:sdtPr>
      <w:sdtEndPr>
        <w:rPr>
          <w:b w:val="0"/>
          <w:bCs w:val="0"/>
          <w:sz w:val="24"/>
          <w:szCs w:val="24"/>
          <w:lang w:val="zh-CN"/>
        </w:rPr>
      </w:sdtEndPr>
      <w:sdtContent>
        <w:p>
          <w:pPr>
            <w:pStyle w:val="19"/>
            <w:spacing w:before="120" w:after="120"/>
          </w:pPr>
          <w:r>
            <w:rPr>
              <w:lang w:val="zh-CN"/>
            </w:rPr>
            <w:t>目录</w:t>
          </w:r>
        </w:p>
        <w:p>
          <w:pPr>
            <w:pStyle w:val="16"/>
            <w:tabs>
              <w:tab w:val="right" w:leader="dot" w:pos="9060"/>
            </w:tabs>
            <w:ind w:firstLine="480"/>
            <w:rPr>
              <w:rFonts w:asciiTheme="minorHAnsi" w:hAnsiTheme="minorHAnsi" w:eastAsiaTheme="minorEastAsia" w:cstheme="minorBidi"/>
              <w:kern w:val="2"/>
              <w:sz w:val="21"/>
              <w:szCs w:val="22"/>
            </w:rPr>
          </w:pPr>
          <w:r>
            <w:fldChar w:fldCharType="begin"/>
          </w:r>
          <w:r>
            <w:instrText xml:space="preserve"> TOC \o "1-3" \h \z \u </w:instrText>
          </w:r>
          <w:r>
            <w:fldChar w:fldCharType="separate"/>
          </w:r>
          <w:r>
            <w:fldChar w:fldCharType="begin"/>
          </w:r>
          <w:r>
            <w:instrText xml:space="preserve"> HYPERLINK \l "_Toc129070539" </w:instrText>
          </w:r>
          <w:r>
            <w:fldChar w:fldCharType="separate"/>
          </w:r>
          <w:r>
            <w:rPr>
              <w:rStyle w:val="24"/>
            </w:rPr>
            <w:t>第一章 工程概况</w:t>
          </w:r>
          <w:r>
            <w:tab/>
          </w:r>
          <w:r>
            <w:fldChar w:fldCharType="begin"/>
          </w:r>
          <w:r>
            <w:instrText xml:space="preserve"> PAGEREF _Toc129070539 \h </w:instrText>
          </w:r>
          <w:r>
            <w:fldChar w:fldCharType="separate"/>
          </w:r>
          <w:r>
            <w:t>1</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"_Toc129070540" </w:instrText>
          </w:r>
          <w:r>
            <w:fldChar w:fldCharType="separate"/>
          </w:r>
          <w:r>
            <w:rPr>
              <w:rStyle w:val="24"/>
            </w:rPr>
            <w:t>1.1 模板工程概况和特点</w:t>
          </w:r>
          <w:r>
            <w:tab/>
          </w:r>
          <w:r>
            <w:fldChar w:fldCharType="begin"/>
          </w:r>
          <w:r>
            <w:instrText xml:space="preserve"> PAGEREF _Toc129070540 \h </w:instrText>
          </w:r>
          <w:r>
            <w:fldChar w:fldCharType="separate"/>
          </w:r>
          <w:r>
            <w:t>1</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"_Toc129070541" </w:instrText>
          </w:r>
          <w:r>
            <w:fldChar w:fldCharType="separate"/>
          </w:r>
          <w:r>
            <w:rPr>
              <w:rStyle w:val="24"/>
            </w:rPr>
            <w:t>1.2 施工平面及立面布置</w:t>
          </w:r>
          <w:r>
            <w:tab/>
          </w:r>
          <w:r>
            <w:fldChar w:fldCharType="begin"/>
          </w:r>
          <w:r>
            <w:instrText xml:space="preserve"> PAGEREF _Toc129070541 \h </w:instrText>
          </w:r>
          <w:r>
            <w:fldChar w:fldCharType="separate"/>
          </w:r>
          <w:r>
            <w:t>1</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"_Toc129070542" </w:instrText>
          </w:r>
          <w:r>
            <w:fldChar w:fldCharType="separate"/>
          </w:r>
          <w:r>
            <w:rPr>
              <w:rStyle w:val="24"/>
            </w:rPr>
            <w:t>1.3 风险辨识与分级</w:t>
          </w:r>
          <w:r>
            <w:tab/>
          </w:r>
          <w:r>
            <w:fldChar w:fldCharType="begin"/>
          </w:r>
          <w:r>
            <w:instrText xml:space="preserve"> PAGEREF _Toc129070542 \h </w:instrText>
          </w:r>
          <w:r>
            <w:fldChar w:fldCharType="separate"/>
          </w:r>
          <w:r>
            <w:t>1</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"_Toc129070543" </w:instrText>
          </w:r>
          <w:r>
            <w:fldChar w:fldCharType="separate"/>
          </w:r>
          <w:r>
            <w:rPr>
              <w:rStyle w:val="24"/>
            </w:rPr>
            <w:t>1.4 施工地的气候特征和季节性天气</w:t>
          </w:r>
          <w:r>
            <w:tab/>
          </w:r>
          <w:r>
            <w:fldChar w:fldCharType="begin"/>
          </w:r>
          <w:r>
            <w:instrText xml:space="preserve"> PAGEREF _Toc129070543 \h </w:instrText>
          </w:r>
          <w:r>
            <w:fldChar w:fldCharType="separate"/>
          </w:r>
          <w:r>
            <w:t>3</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"_Toc129070544" </w:instrText>
          </w:r>
          <w:r>
            <w:fldChar w:fldCharType="separate"/>
          </w:r>
          <w:r>
            <w:rPr>
              <w:rStyle w:val="24"/>
            </w:rPr>
            <w:t>1.5 参建各方责任主体单位</w:t>
          </w:r>
          <w:r>
            <w:tab/>
          </w:r>
          <w:r>
            <w:fldChar w:fldCharType="begin"/>
          </w:r>
          <w:r>
            <w:instrText xml:space="preserve"> PAGEREF _Toc129070544 \h </w:instrText>
          </w:r>
          <w:r>
            <w:fldChar w:fldCharType="separate"/>
          </w:r>
          <w:r>
            <w:t>3</w:t>
          </w:r>
          <w:r>
            <w:fldChar w:fldCharType="end"/>
          </w:r>
          <w:r>
            <w:fldChar w:fldCharType="end"/>
          </w:r>
        </w:p>
        <w:p>
          <w:pPr>
            <w:pStyle w:val="16"/>
            <w:tabs>
              <w:tab w:val="right" w:leader="dot" w:pos="9060"/>
            </w:tabs>
            <w:ind w:firstLine="480"/>
            <w:rPr>
              <w:rFonts w:asciiTheme="minorHAnsi" w:hAnsiTheme="minorHAnsi" w:eastAsiaTheme="minorEastAsia" w:cstheme="minorBidi"/>
              <w:kern w:val="2"/>
              <w:sz w:val="21"/>
              <w:szCs w:val="22"/>
            </w:rPr>
          </w:pPr>
          <w:r>
            <w:fldChar w:fldCharType="begin"/>
          </w:r>
          <w:r>
            <w:instrText xml:space="preserve"> HYPERLINK \l "_Toc129070545" </w:instrText>
          </w:r>
          <w:r>
            <w:fldChar w:fldCharType="separate"/>
          </w:r>
          <w:r>
            <w:rPr>
              <w:rStyle w:val="24"/>
            </w:rPr>
            <w:t>第二章 编制依据</w:t>
          </w:r>
          <w:r>
            <w:tab/>
          </w:r>
          <w:r>
            <w:fldChar w:fldCharType="begin"/>
          </w:r>
          <w:r>
            <w:instrText xml:space="preserve"> PAGEREF _Toc129070545 \h </w:instrText>
          </w:r>
          <w:r>
            <w:fldChar w:fldCharType="separate"/>
          </w:r>
          <w:r>
            <w:t>3</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"_Toc129070546" </w:instrText>
          </w:r>
          <w:r>
            <w:fldChar w:fldCharType="separate"/>
          </w:r>
          <w:r>
            <w:rPr>
              <w:rStyle w:val="24"/>
            </w:rPr>
            <w:t>2.1 法律法规、标准规范依据</w:t>
          </w:r>
          <w:r>
            <w:tab/>
          </w:r>
          <w:r>
            <w:fldChar w:fldCharType="begin"/>
          </w:r>
          <w:r>
            <w:instrText xml:space="preserve"> PAGEREF _Toc129070546 \h </w:instrText>
          </w:r>
          <w:r>
            <w:fldChar w:fldCharType="separate"/>
          </w:r>
          <w:r>
            <w:t>3</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"_Toc129070547" </w:instrText>
          </w:r>
          <w:r>
            <w:fldChar w:fldCharType="separate"/>
          </w:r>
          <w:r>
            <w:rPr>
              <w:rStyle w:val="24"/>
            </w:rPr>
            <w:t>2.2 项目文件</w:t>
          </w:r>
          <w:r>
            <w:tab/>
          </w:r>
          <w:r>
            <w:fldChar w:fldCharType="begin"/>
          </w:r>
          <w:r>
            <w:instrText xml:space="preserve"> PAGEREF _Toc129070547 \h </w:instrText>
          </w:r>
          <w:r>
            <w:fldChar w:fldCharType="separate"/>
          </w:r>
          <w:r>
            <w:t>5</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"_Toc129070548" </w:instrText>
          </w:r>
          <w:r>
            <w:fldChar w:fldCharType="separate"/>
          </w:r>
          <w:r>
            <w:rPr>
              <w:rStyle w:val="24"/>
            </w:rPr>
            <w:t>2.3 施工组织设计</w:t>
          </w:r>
          <w:r>
            <w:tab/>
          </w:r>
          <w:r>
            <w:fldChar w:fldCharType="begin"/>
          </w:r>
          <w:r>
            <w:instrText xml:space="preserve"> PAGEREF _Toc129070548 \h </w:instrText>
          </w:r>
          <w:r>
            <w:fldChar w:fldCharType="separate"/>
          </w:r>
          <w:r>
            <w:t>5</w:t>
          </w:r>
          <w:r>
            <w:fldChar w:fldCharType="end"/>
          </w:r>
          <w:r>
            <w:fldChar w:fldCharType="end"/>
          </w:r>
        </w:p>
        <w:p>
          <w:pPr>
            <w:pStyle w:val="16"/>
            <w:tabs>
              <w:tab w:val="right" w:leader="dot" w:pos="9060"/>
            </w:tabs>
            <w:ind w:firstLine="480"/>
            <w:rPr>
              <w:rFonts w:asciiTheme="minorHAnsi" w:hAnsiTheme="minorHAnsi" w:eastAsiaTheme="minorEastAsia" w:cstheme="minorBidi"/>
              <w:kern w:val="2"/>
              <w:sz w:val="21"/>
              <w:szCs w:val="22"/>
            </w:rPr>
          </w:pPr>
          <w:r>
            <w:fldChar w:fldCharType="begin"/>
          </w:r>
          <w:r>
            <w:instrText xml:space="preserve"> HYPERLINK \l "_Toc129070549" </w:instrText>
          </w:r>
          <w:r>
            <w:fldChar w:fldCharType="separate"/>
          </w:r>
          <w:r>
            <w:rPr>
              <w:rStyle w:val="24"/>
            </w:rPr>
            <w:t>第三章 施工计划</w:t>
          </w:r>
          <w:r>
            <w:tab/>
          </w:r>
          <w:r>
            <w:fldChar w:fldCharType="begin"/>
          </w:r>
          <w:r>
            <w:instrText xml:space="preserve"> PAGEREF _Toc129070549 \h </w:instrText>
          </w:r>
          <w:r>
            <w:fldChar w:fldCharType="separate"/>
          </w:r>
          <w:r>
            <w:t>5</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"_Toc129070550" </w:instrText>
          </w:r>
          <w:r>
            <w:fldChar w:fldCharType="separate"/>
          </w:r>
          <w:r>
            <w:rPr>
              <w:rStyle w:val="24"/>
            </w:rPr>
            <w:t>3.1 施工进度计划</w:t>
          </w:r>
          <w:r>
            <w:tab/>
          </w:r>
          <w:r>
            <w:fldChar w:fldCharType="begin"/>
          </w:r>
          <w:r>
            <w:instrText xml:space="preserve"> PAGEREF _Toc129070550 \h </w:instrText>
          </w:r>
          <w:r>
            <w:fldChar w:fldCharType="separate"/>
          </w:r>
          <w:r>
            <w:t>5</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"_Toc129070551" </w:instrText>
          </w:r>
          <w:r>
            <w:fldChar w:fldCharType="separate"/>
          </w:r>
          <w:r>
            <w:rPr>
              <w:rStyle w:val="24"/>
            </w:rPr>
            <w:t>3.2 材料与设备计划</w:t>
          </w:r>
          <w:r>
            <w:tab/>
          </w:r>
          <w:r>
            <w:fldChar w:fldCharType="begin"/>
          </w:r>
          <w:r>
            <w:instrText xml:space="preserve"> PAGEREF _Toc129070551 \h </w:instrText>
          </w:r>
          <w:r>
            <w:fldChar w:fldCharType="separate"/>
          </w:r>
          <w:r>
            <w:t>6</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"_Toc129070552" </w:instrText>
          </w:r>
          <w:r>
            <w:fldChar w:fldCharType="separate"/>
          </w:r>
          <w:r>
            <w:rPr>
              <w:rStyle w:val="24"/>
            </w:rPr>
            <w:t>3.2.1 材料计划</w:t>
          </w:r>
          <w:r>
            <w:tab/>
          </w:r>
          <w:r>
            <w:fldChar w:fldCharType="begin"/>
          </w:r>
          <w:r>
            <w:instrText xml:space="preserve"> PAGEREF _Toc129070552 \h </w:instrText>
          </w:r>
          <w:r>
            <w:fldChar w:fldCharType="separate"/>
          </w:r>
          <w:r>
            <w:t>6</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"_Toc129070553" </w:instrText>
          </w:r>
          <w:r>
            <w:fldChar w:fldCharType="separate"/>
          </w:r>
          <w:r>
            <w:rPr>
              <w:rStyle w:val="24"/>
            </w:rPr>
            <w:t>3.2.2 设备计划</w:t>
          </w:r>
          <w:r>
            <w:tab/>
          </w:r>
          <w:r>
            <w:fldChar w:fldCharType="begin"/>
          </w:r>
          <w:r>
            <w:instrText xml:space="preserve"> PAGEREF _Toc129070553 \h </w:instrText>
          </w:r>
          <w:r>
            <w:fldChar w:fldCharType="separate"/>
          </w:r>
          <w:r>
            <w:t>6</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"_Toc129070554" </w:instrText>
          </w:r>
          <w:r>
            <w:fldChar w:fldCharType="separate"/>
          </w:r>
          <w:r>
            <w:rPr>
              <w:rStyle w:val="24"/>
            </w:rPr>
            <w:t>3.3 劳动力计划</w:t>
          </w:r>
          <w:r>
            <w:tab/>
          </w:r>
          <w:r>
            <w:fldChar w:fldCharType="begin"/>
          </w:r>
          <w:r>
            <w:instrText xml:space="preserve"> PAGEREF _Toc129070554 \h </w:instrText>
          </w:r>
          <w:r>
            <w:fldChar w:fldCharType="separate"/>
          </w:r>
          <w:r>
            <w:t>7</w:t>
          </w:r>
          <w:r>
            <w:fldChar w:fldCharType="end"/>
          </w:r>
          <w:r>
            <w:fldChar w:fldCharType="end"/>
          </w:r>
        </w:p>
        <w:p>
          <w:pPr>
            <w:pStyle w:val="16"/>
            <w:tabs>
              <w:tab w:val="right" w:leader="dot" w:pos="9060"/>
            </w:tabs>
            <w:ind w:firstLine="480"/>
            <w:rPr>
              <w:rFonts w:asciiTheme="minorHAnsi" w:hAnsiTheme="minorHAnsi" w:eastAsiaTheme="minorEastAsia" w:cstheme="minorBidi"/>
              <w:kern w:val="2"/>
              <w:sz w:val="21"/>
              <w:szCs w:val="22"/>
            </w:rPr>
          </w:pPr>
          <w:r>
            <w:fldChar w:fldCharType="begin"/>
          </w:r>
          <w:r>
            <w:instrText xml:space="preserve"> HYPERLINK \l "_Toc129070555" </w:instrText>
          </w:r>
          <w:r>
            <w:fldChar w:fldCharType="separate"/>
          </w:r>
          <w:r>
            <w:rPr>
              <w:rStyle w:val="24"/>
            </w:rPr>
            <w:t>第四章 施工工艺技术</w:t>
          </w:r>
          <w:r>
            <w:tab/>
          </w:r>
          <w:r>
            <w:fldChar w:fldCharType="begin"/>
          </w:r>
          <w:r>
            <w:instrText xml:space="preserve"> PAGEREF _Toc129070555 \h </w:instrText>
          </w:r>
          <w:r>
            <w:fldChar w:fldCharType="separate"/>
          </w:r>
          <w:r>
            <w:t>7</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"_Toc129070556" </w:instrText>
          </w:r>
          <w:r>
            <w:fldChar w:fldCharType="separate"/>
          </w:r>
          <w:r>
            <w:rPr>
              <w:rStyle w:val="24"/>
            </w:rPr>
            <w:t>4.1 技术参数</w:t>
          </w:r>
          <w:r>
            <w:tab/>
          </w:r>
          <w:r>
            <w:fldChar w:fldCharType="begin"/>
          </w:r>
          <w:r>
            <w:instrText xml:space="preserve"> PAGEREF _Toc129070556 \h </w:instrText>
          </w:r>
          <w:r>
            <w:fldChar w:fldCharType="separate"/>
          </w:r>
          <w:r>
            <w:t>7</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"_Toc129070557" </w:instrText>
          </w:r>
          <w:r>
            <w:fldChar w:fldCharType="separate"/>
          </w:r>
          <w:r>
            <w:rPr>
              <w:rStyle w:val="24"/>
            </w:rPr>
            <w:t>4.1.1 材料选型</w:t>
          </w:r>
          <w:r>
            <w:tab/>
          </w:r>
          <w:r>
            <w:fldChar w:fldCharType="begin"/>
          </w:r>
          <w:r>
            <w:instrText xml:space="preserve"> PAGEREF _Toc129070557 \h </w:instrText>
          </w:r>
          <w:r>
            <w:fldChar w:fldCharType="separate"/>
          </w:r>
          <w:r>
            <w:t>8</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"_Toc129070558" </w:instrText>
          </w:r>
          <w:r>
            <w:fldChar w:fldCharType="separate"/>
          </w:r>
          <w:r>
            <w:rPr>
              <w:rStyle w:val="24"/>
            </w:rPr>
            <w:t>4.1.2 模架体系设计</w:t>
          </w:r>
          <w:r>
            <w:tab/>
          </w:r>
          <w:r>
            <w:fldChar w:fldCharType="begin"/>
          </w:r>
          <w:r>
            <w:instrText xml:space="preserve"> PAGEREF _Toc129070558 \h </w:instrText>
          </w:r>
          <w:r>
            <w:fldChar w:fldCharType="separate"/>
          </w:r>
          <w:r>
            <w:t>8</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"_Toc129070559" </w:instrText>
          </w:r>
          <w:r>
            <w:fldChar w:fldCharType="separate"/>
          </w:r>
          <w:r>
            <w:rPr>
              <w:rStyle w:val="24"/>
            </w:rPr>
            <w:t>楼梯支撑系统加固</w:t>
          </w:r>
          <w:r>
            <w:tab/>
          </w:r>
          <w:r>
            <w:fldChar w:fldCharType="begin"/>
          </w:r>
          <w:r>
            <w:instrText xml:space="preserve"> PAGEREF _Toc129070559 \h </w:instrText>
          </w:r>
          <w:r>
            <w:fldChar w:fldCharType="separate"/>
          </w:r>
          <w:r>
            <w:t>15</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"_Toc129070560" </w:instrText>
          </w:r>
          <w:r>
            <w:fldChar w:fldCharType="separate"/>
          </w:r>
          <w:r>
            <w:rPr>
              <w:rStyle w:val="24"/>
            </w:rPr>
            <w:t>4.2 工艺流程</w:t>
          </w:r>
          <w:r>
            <w:tab/>
          </w:r>
          <w:r>
            <w:fldChar w:fldCharType="begin"/>
          </w:r>
          <w:r>
            <w:instrText xml:space="preserve"> PAGEREF _Toc129070560 \h </w:instrText>
          </w:r>
          <w:r>
            <w:fldChar w:fldCharType="separate"/>
          </w:r>
          <w:r>
            <w:t>16</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"_Toc129070561" </w:instrText>
          </w:r>
          <w:r>
            <w:fldChar w:fldCharType="separate"/>
          </w:r>
          <w:r>
            <w:rPr>
              <w:rStyle w:val="24"/>
            </w:rPr>
            <w:t>4.3 施工方法及操作流程</w:t>
          </w:r>
          <w:r>
            <w:tab/>
          </w:r>
          <w:r>
            <w:fldChar w:fldCharType="begin"/>
          </w:r>
          <w:r>
            <w:instrText xml:space="preserve"> PAGEREF _Toc129070561 \h </w:instrText>
          </w:r>
          <w:r>
            <w:fldChar w:fldCharType="separate"/>
          </w:r>
          <w:r>
            <w:t>16</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"_Toc129070562" </w:instrText>
          </w:r>
          <w:r>
            <w:fldChar w:fldCharType="separate"/>
          </w:r>
          <w:r>
            <w:rPr>
              <w:rStyle w:val="24"/>
            </w:rPr>
            <w:t>4.3.1 施工前准备</w:t>
          </w:r>
          <w:r>
            <w:tab/>
          </w:r>
          <w:r>
            <w:fldChar w:fldCharType="begin"/>
          </w:r>
          <w:r>
            <w:instrText xml:space="preserve"> PAGEREF _Toc129070562 \h </w:instrText>
          </w:r>
          <w:r>
            <w:fldChar w:fldCharType="separate"/>
          </w:r>
          <w:r>
            <w:t>16</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"_Toc129070563" </w:instrText>
          </w:r>
          <w:r>
            <w:fldChar w:fldCharType="separate"/>
          </w:r>
          <w:r>
            <w:rPr>
              <w:rStyle w:val="24"/>
            </w:rPr>
            <w:t>4.3.2 铝合金模板安装</w:t>
          </w:r>
          <w:r>
            <w:tab/>
          </w:r>
          <w:r>
            <w:fldChar w:fldCharType="begin"/>
          </w:r>
          <w:r>
            <w:instrText xml:space="preserve"> PAGEREF _Toc129070563 \h </w:instrText>
          </w:r>
          <w:r>
            <w:fldChar w:fldCharType="separate"/>
          </w:r>
          <w:r>
            <w:t>16</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"_Toc129070564" </w:instrText>
          </w:r>
          <w:r>
            <w:fldChar w:fldCharType="separate"/>
          </w:r>
          <w:r>
            <w:rPr>
              <w:rStyle w:val="24"/>
            </w:rPr>
            <w:t>4.3.3 铝合金模板拆除</w:t>
          </w:r>
          <w:r>
            <w:tab/>
          </w:r>
          <w:r>
            <w:fldChar w:fldCharType="begin"/>
          </w:r>
          <w:r>
            <w:instrText xml:space="preserve"> PAGEREF _Toc129070564 \h </w:instrText>
          </w:r>
          <w:r>
            <w:fldChar w:fldCharType="separate"/>
          </w:r>
          <w:r>
            <w:t>18</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"_Toc129070565" </w:instrText>
          </w:r>
          <w:r>
            <w:fldChar w:fldCharType="separate"/>
          </w:r>
          <w:r>
            <w:rPr>
              <w:rStyle w:val="24"/>
            </w:rPr>
            <w:t>4.4 使用要求</w:t>
          </w:r>
          <w:r>
            <w:tab/>
          </w:r>
          <w:r>
            <w:fldChar w:fldCharType="begin"/>
          </w:r>
          <w:r>
            <w:instrText xml:space="preserve"> PAGEREF _Toc129070565 \h </w:instrText>
          </w:r>
          <w:r>
            <w:fldChar w:fldCharType="separate"/>
          </w:r>
          <w:r>
            <w:t>20</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"_Toc129070566" </w:instrText>
          </w:r>
          <w:r>
            <w:fldChar w:fldCharType="separate"/>
          </w:r>
          <w:r>
            <w:rPr>
              <w:rStyle w:val="24"/>
            </w:rPr>
            <w:t>4.4.1 混凝土浇筑要求</w:t>
          </w:r>
          <w:r>
            <w:tab/>
          </w:r>
          <w:r>
            <w:fldChar w:fldCharType="begin"/>
          </w:r>
          <w:r>
            <w:instrText xml:space="preserve"> PAGEREF _Toc129070566 \h </w:instrText>
          </w:r>
          <w:r>
            <w:fldChar w:fldCharType="separate"/>
          </w:r>
          <w:r>
            <w:t>21</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"_Toc129070567" </w:instrText>
          </w:r>
          <w:r>
            <w:fldChar w:fldCharType="separate"/>
          </w:r>
          <w:r>
            <w:rPr>
              <w:rStyle w:val="24"/>
            </w:rPr>
            <w:t>4.5 检查要求</w:t>
          </w:r>
          <w:r>
            <w:tab/>
          </w:r>
          <w:r>
            <w:fldChar w:fldCharType="begin"/>
          </w:r>
          <w:r>
            <w:instrText xml:space="preserve"> PAGEREF _Toc129070567 \h </w:instrText>
          </w:r>
          <w:r>
            <w:fldChar w:fldCharType="separate"/>
          </w:r>
          <w:r>
            <w:t>22</w:t>
          </w:r>
          <w:r>
            <w:fldChar w:fldCharType="end"/>
          </w:r>
          <w:r>
            <w:fldChar w:fldCharType="end"/>
          </w:r>
        </w:p>
        <w:p>
          <w:pPr>
            <w:pStyle w:val="16"/>
            <w:tabs>
              <w:tab w:val="right" w:leader="dot" w:pos="9060"/>
            </w:tabs>
            <w:ind w:firstLine="480"/>
            <w:rPr>
              <w:rFonts w:asciiTheme="minorHAnsi" w:hAnsiTheme="minorHAnsi" w:eastAsiaTheme="minorEastAsia" w:cstheme="minorBidi"/>
              <w:kern w:val="2"/>
              <w:sz w:val="21"/>
              <w:szCs w:val="22"/>
            </w:rPr>
          </w:pPr>
          <w:r>
            <w:fldChar w:fldCharType="begin"/>
          </w:r>
          <w:r>
            <w:instrText xml:space="preserve"> HYPERLINK \l "_Toc129070568" </w:instrText>
          </w:r>
          <w:r>
            <w:fldChar w:fldCharType="separate"/>
          </w:r>
          <w:r>
            <w:rPr>
              <w:rStyle w:val="24"/>
            </w:rPr>
            <w:t>第五章 施工保证措施</w:t>
          </w:r>
          <w:r>
            <w:tab/>
          </w:r>
          <w:r>
            <w:fldChar w:fldCharType="begin"/>
          </w:r>
          <w:r>
            <w:instrText xml:space="preserve"> PAGEREF _Toc129070568 \h </w:instrText>
          </w:r>
          <w:r>
            <w:fldChar w:fldCharType="separate"/>
          </w:r>
          <w:r>
            <w:t>22</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"_Toc129070569" </w:instrText>
          </w:r>
          <w:r>
            <w:fldChar w:fldCharType="separate"/>
          </w:r>
          <w:r>
            <w:rPr>
              <w:rStyle w:val="24"/>
            </w:rPr>
            <w:t>5.1 组织保障措施</w:t>
          </w:r>
          <w:r>
            <w:tab/>
          </w:r>
          <w:r>
            <w:fldChar w:fldCharType="begin"/>
          </w:r>
          <w:r>
            <w:instrText xml:space="preserve"> PAGEREF _Toc129070569 \h </w:instrText>
          </w:r>
          <w:r>
            <w:fldChar w:fldCharType="separate"/>
          </w:r>
          <w:r>
            <w:t>22</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"_Toc129070570" </w:instrText>
          </w:r>
          <w:r>
            <w:fldChar w:fldCharType="separate"/>
          </w:r>
          <w:r>
            <w:rPr>
              <w:rStyle w:val="24"/>
            </w:rPr>
            <w:t>5.1.1 安全组织机构</w:t>
          </w:r>
          <w:r>
            <w:tab/>
          </w:r>
          <w:r>
            <w:fldChar w:fldCharType="begin"/>
          </w:r>
          <w:r>
            <w:instrText xml:space="preserve"> PAGEREF _Toc129070570 \h </w:instrText>
          </w:r>
          <w:r>
            <w:fldChar w:fldCharType="separate"/>
          </w:r>
          <w:r>
            <w:t>22</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"_Toc129070571" </w:instrText>
          </w:r>
          <w:r>
            <w:fldChar w:fldCharType="separate"/>
          </w:r>
          <w:r>
            <w:rPr>
              <w:rStyle w:val="24"/>
            </w:rPr>
            <w:t>5.1.2 安全生产制度</w:t>
          </w:r>
          <w:r>
            <w:tab/>
          </w:r>
          <w:r>
            <w:fldChar w:fldCharType="begin"/>
          </w:r>
          <w:r>
            <w:instrText xml:space="preserve"> PAGEREF _Toc129070571 \h </w:instrText>
          </w:r>
          <w:r>
            <w:fldChar w:fldCharType="separate"/>
          </w:r>
          <w:r>
            <w:t>23</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"_Toc129070572" </w:instrText>
          </w:r>
          <w:r>
            <w:fldChar w:fldCharType="separate"/>
          </w:r>
          <w:r>
            <w:rPr>
              <w:rStyle w:val="24"/>
            </w:rPr>
            <w:t>5.2 技术措施</w:t>
          </w:r>
          <w:r>
            <w:tab/>
          </w:r>
          <w:r>
            <w:fldChar w:fldCharType="begin"/>
          </w:r>
          <w:r>
            <w:instrText xml:space="preserve"> PAGEREF _Toc129070572 \h </w:instrText>
          </w:r>
          <w:r>
            <w:fldChar w:fldCharType="separate"/>
          </w:r>
          <w:r>
            <w:t>25</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"_Toc129070573" </w:instrText>
          </w:r>
          <w:r>
            <w:fldChar w:fldCharType="separate"/>
          </w:r>
          <w:r>
            <w:rPr>
              <w:rStyle w:val="24"/>
            </w:rPr>
            <w:t>5.2.1 安全保证措施</w:t>
          </w:r>
          <w:r>
            <w:tab/>
          </w:r>
          <w:r>
            <w:fldChar w:fldCharType="begin"/>
          </w:r>
          <w:r>
            <w:instrText xml:space="preserve"> PAGEREF _Toc129070573 \h </w:instrText>
          </w:r>
          <w:r>
            <w:fldChar w:fldCharType="separate"/>
          </w:r>
          <w:r>
            <w:t>25</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"_Toc129070574" </w:instrText>
          </w:r>
          <w:r>
            <w:fldChar w:fldCharType="separate"/>
          </w:r>
          <w:r>
            <w:rPr>
              <w:rStyle w:val="24"/>
            </w:rPr>
            <w:t>5.2.2 质量保证措施</w:t>
          </w:r>
          <w:r>
            <w:tab/>
          </w:r>
          <w:r>
            <w:fldChar w:fldCharType="begin"/>
          </w:r>
          <w:r>
            <w:instrText xml:space="preserve"> PAGEREF _Toc129070574 \h </w:instrText>
          </w:r>
          <w:r>
            <w:fldChar w:fldCharType="separate"/>
          </w:r>
          <w:r>
            <w:t>26</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"_Toc129070575" </w:instrText>
          </w:r>
          <w:r>
            <w:fldChar w:fldCharType="separate"/>
          </w:r>
          <w:r>
            <w:rPr>
              <w:rStyle w:val="24"/>
            </w:rPr>
            <w:t>5.2.3 文明施工保证措施</w:t>
          </w:r>
          <w:r>
            <w:tab/>
          </w:r>
          <w:r>
            <w:fldChar w:fldCharType="begin"/>
          </w:r>
          <w:r>
            <w:instrText xml:space="preserve"> PAGEREF _Toc129070575 \h </w:instrText>
          </w:r>
          <w:r>
            <w:fldChar w:fldCharType="separate"/>
          </w:r>
          <w:r>
            <w:t>26</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"_Toc129070576" </w:instrText>
          </w:r>
          <w:r>
            <w:fldChar w:fldCharType="separate"/>
          </w:r>
          <w:r>
            <w:rPr>
              <w:rStyle w:val="24"/>
            </w:rPr>
            <w:t>5.2.4 环境保护措施</w:t>
          </w:r>
          <w:r>
            <w:tab/>
          </w:r>
          <w:r>
            <w:fldChar w:fldCharType="begin"/>
          </w:r>
          <w:r>
            <w:instrText xml:space="preserve"> PAGEREF _Toc129070576 \h </w:instrText>
          </w:r>
          <w:r>
            <w:fldChar w:fldCharType="separate"/>
          </w:r>
          <w:r>
            <w:t>26</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"_Toc129070577" </w:instrText>
          </w:r>
          <w:r>
            <w:fldChar w:fldCharType="separate"/>
          </w:r>
          <w:r>
            <w:rPr>
              <w:rStyle w:val="24"/>
            </w:rPr>
            <w:t>5.2.5 季节性施工保证措施</w:t>
          </w:r>
          <w:r>
            <w:tab/>
          </w:r>
          <w:r>
            <w:fldChar w:fldCharType="begin"/>
          </w:r>
          <w:r>
            <w:instrText xml:space="preserve"> PAGEREF _Toc129070577 \h </w:instrText>
          </w:r>
          <w:r>
            <w:fldChar w:fldCharType="separate"/>
          </w:r>
          <w:r>
            <w:t>27</w:t>
          </w:r>
          <w:r>
            <w:fldChar w:fldCharType="end"/>
          </w:r>
          <w:r>
            <w:fldChar w:fldCharType="end"/>
          </w:r>
        </w:p>
        <w:p>
          <w:pPr>
            <w:pStyle w:val="16"/>
            <w:tabs>
              <w:tab w:val="right" w:leader="dot" w:pos="9060"/>
            </w:tabs>
            <w:ind w:firstLine="480"/>
            <w:rPr>
              <w:rFonts w:asciiTheme="minorHAnsi" w:hAnsiTheme="minorHAnsi" w:eastAsiaTheme="minorEastAsia" w:cstheme="minorBidi"/>
              <w:kern w:val="2"/>
              <w:sz w:val="21"/>
              <w:szCs w:val="22"/>
            </w:rPr>
          </w:pPr>
          <w:r>
            <w:fldChar w:fldCharType="begin"/>
          </w:r>
          <w:r>
            <w:instrText xml:space="preserve"> HYPERLINK \l "_Toc129070578" </w:instrText>
          </w:r>
          <w:r>
            <w:fldChar w:fldCharType="separate"/>
          </w:r>
          <w:r>
            <w:rPr>
              <w:rStyle w:val="24"/>
            </w:rPr>
            <w:t>第六章 施工管理及作业人员配备和分工</w:t>
          </w:r>
          <w:r>
            <w:tab/>
          </w:r>
          <w:r>
            <w:fldChar w:fldCharType="begin"/>
          </w:r>
          <w:r>
            <w:instrText xml:space="preserve"> PAGEREF _Toc129070578 \h </w:instrText>
          </w:r>
          <w:r>
            <w:fldChar w:fldCharType="separate"/>
          </w:r>
          <w:r>
            <w:t>29</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"_Toc129070579" </w:instrText>
          </w:r>
          <w:r>
            <w:fldChar w:fldCharType="separate"/>
          </w:r>
          <w:r>
            <w:rPr>
              <w:rStyle w:val="24"/>
            </w:rPr>
            <w:t>6.1 施工管理人员</w:t>
          </w:r>
          <w:r>
            <w:tab/>
          </w:r>
          <w:r>
            <w:fldChar w:fldCharType="begin"/>
          </w:r>
          <w:r>
            <w:instrText xml:space="preserve"> PAGEREF _Toc129070579 \h </w:instrText>
          </w:r>
          <w:r>
            <w:fldChar w:fldCharType="separate"/>
          </w:r>
          <w:r>
            <w:t>29</w:t>
          </w:r>
          <w:r>
            <w:fldChar w:fldCharType="end"/>
          </w:r>
          <w:r>
            <w:fldChar w:fldCharType="end"/>
          </w:r>
        </w:p>
        <w:p>
          <w:pPr>
            <w:pStyle w:val="11"/>
            <w:tabs>
              <w:tab w:val="right" w:leader="dot" w:pos="9060"/>
            </w:tabs>
            <w:ind w:left="960" w:firstLine="480"/>
            <w:rPr>
              <w:rFonts w:asciiTheme="minorHAnsi" w:hAnsiTheme="minorHAnsi" w:eastAsiaTheme="minorEastAsia" w:cstheme="minorBidi"/>
              <w:kern w:val="2"/>
              <w:sz w:val="21"/>
              <w:szCs w:val="22"/>
            </w:rPr>
          </w:pPr>
          <w:r>
            <w:fldChar w:fldCharType="begin"/>
          </w:r>
          <w:r>
            <w:instrText xml:space="preserve"> HYPERLINK \l "_Toc129070580" </w:instrText>
          </w:r>
          <w:r>
            <w:fldChar w:fldCharType="separate"/>
          </w:r>
          <w:r>
            <w:rPr>
              <w:rStyle w:val="24"/>
            </w:rPr>
            <w:t>6.1.1 管理人员配备及岗位职责表</w:t>
          </w:r>
          <w:r>
            <w:tab/>
          </w:r>
          <w:r>
            <w:fldChar w:fldCharType="begin"/>
          </w:r>
          <w:r>
            <w:instrText xml:space="preserve"> PAGEREF _Toc129070580 \h </w:instrText>
          </w:r>
          <w:r>
            <w:fldChar w:fldCharType="separate"/>
          </w:r>
          <w:r>
            <w:t>29</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"_Toc129070581" </w:instrText>
          </w:r>
          <w:r>
            <w:fldChar w:fldCharType="separate"/>
          </w:r>
          <w:r>
            <w:rPr>
              <w:rStyle w:val="24"/>
            </w:rPr>
            <w:t>6.2 专职安全人员</w:t>
          </w:r>
          <w:r>
            <w:tab/>
          </w:r>
          <w:r>
            <w:fldChar w:fldCharType="begin"/>
          </w:r>
          <w:r>
            <w:instrText xml:space="preserve"> PAGEREF _Toc129070581 \h </w:instrText>
          </w:r>
          <w:r>
            <w:fldChar w:fldCharType="separate"/>
          </w:r>
          <w:r>
            <w:t>29</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"_Toc129070582" </w:instrText>
          </w:r>
          <w:r>
            <w:fldChar w:fldCharType="separate"/>
          </w:r>
          <w:r>
            <w:rPr>
              <w:rStyle w:val="24"/>
            </w:rPr>
            <w:t>6.3 特种作业人员</w:t>
          </w:r>
          <w:r>
            <w:tab/>
          </w:r>
          <w:r>
            <w:fldChar w:fldCharType="begin"/>
          </w:r>
          <w:r>
            <w:instrText xml:space="preserve"> PAGEREF _Toc129070582 \h </w:instrText>
          </w:r>
          <w:r>
            <w:fldChar w:fldCharType="separate"/>
          </w:r>
          <w:r>
            <w:t>30</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"_Toc129070583" </w:instrText>
          </w:r>
          <w:r>
            <w:fldChar w:fldCharType="separate"/>
          </w:r>
          <w:r>
            <w:rPr>
              <w:rStyle w:val="24"/>
            </w:rPr>
            <w:t>6.4 其他作业人员</w:t>
          </w:r>
          <w:r>
            <w:tab/>
          </w:r>
          <w:r>
            <w:fldChar w:fldCharType="begin"/>
          </w:r>
          <w:r>
            <w:instrText xml:space="preserve"> PAGEREF _Toc129070583 \h </w:instrText>
          </w:r>
          <w:r>
            <w:fldChar w:fldCharType="separate"/>
          </w:r>
          <w:r>
            <w:t>30</w:t>
          </w:r>
          <w:r>
            <w:fldChar w:fldCharType="end"/>
          </w:r>
          <w:r>
            <w:fldChar w:fldCharType="end"/>
          </w:r>
        </w:p>
        <w:p>
          <w:pPr>
            <w:pStyle w:val="16"/>
            <w:tabs>
              <w:tab w:val="right" w:leader="dot" w:pos="9060"/>
            </w:tabs>
            <w:ind w:firstLine="480"/>
            <w:rPr>
              <w:rFonts w:asciiTheme="minorHAnsi" w:hAnsiTheme="minorHAnsi" w:eastAsiaTheme="minorEastAsia" w:cstheme="minorBidi"/>
              <w:kern w:val="2"/>
              <w:sz w:val="21"/>
              <w:szCs w:val="22"/>
            </w:rPr>
          </w:pPr>
          <w:r>
            <w:fldChar w:fldCharType="begin"/>
          </w:r>
          <w:r>
            <w:instrText xml:space="preserve"> HYPERLINK \l "_Toc129070584" </w:instrText>
          </w:r>
          <w:r>
            <w:fldChar w:fldCharType="separate"/>
          </w:r>
          <w:r>
            <w:rPr>
              <w:rStyle w:val="24"/>
            </w:rPr>
            <w:t>第七章 验收要求</w:t>
          </w:r>
          <w:r>
            <w:tab/>
          </w:r>
          <w:r>
            <w:fldChar w:fldCharType="begin"/>
          </w:r>
          <w:r>
            <w:instrText xml:space="preserve"> PAGEREF _Toc129070584 \h </w:instrText>
          </w:r>
          <w:r>
            <w:fldChar w:fldCharType="separate"/>
          </w:r>
          <w:r>
            <w:t>30</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"_Toc129070585" </w:instrText>
          </w:r>
          <w:r>
            <w:fldChar w:fldCharType="separate"/>
          </w:r>
          <w:r>
            <w:rPr>
              <w:rStyle w:val="24"/>
            </w:rPr>
            <w:t>7.1 验收标准</w:t>
          </w:r>
          <w:r>
            <w:tab/>
          </w:r>
          <w:r>
            <w:fldChar w:fldCharType="begin"/>
          </w:r>
          <w:r>
            <w:instrText xml:space="preserve"> PAGEREF _Toc129070585 \h </w:instrText>
          </w:r>
          <w:r>
            <w:fldChar w:fldCharType="separate"/>
          </w:r>
          <w:r>
            <w:t>30</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"_Toc129070586" </w:instrText>
          </w:r>
          <w:r>
            <w:fldChar w:fldCharType="separate"/>
          </w:r>
          <w:r>
            <w:rPr>
              <w:rStyle w:val="24"/>
            </w:rPr>
            <w:t>7.2 验收程序及人员</w:t>
          </w:r>
          <w:r>
            <w:tab/>
          </w:r>
          <w:r>
            <w:fldChar w:fldCharType="begin"/>
          </w:r>
          <w:r>
            <w:instrText xml:space="preserve"> PAGEREF _Toc129070586 \h </w:instrText>
          </w:r>
          <w:r>
            <w:fldChar w:fldCharType="separate"/>
          </w:r>
          <w:r>
            <w:t>32</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"_Toc129070587" </w:instrText>
          </w:r>
          <w:r>
            <w:fldChar w:fldCharType="separate"/>
          </w:r>
          <w:r>
            <w:rPr>
              <w:rStyle w:val="24"/>
            </w:rPr>
            <w:t>7.3 验收内容</w:t>
          </w:r>
          <w:r>
            <w:tab/>
          </w:r>
          <w:r>
            <w:fldChar w:fldCharType="begin"/>
          </w:r>
          <w:r>
            <w:instrText xml:space="preserve"> PAGEREF _Toc129070587 \h </w:instrText>
          </w:r>
          <w:r>
            <w:fldChar w:fldCharType="separate"/>
          </w:r>
          <w:r>
            <w:t>34</w:t>
          </w:r>
          <w:r>
            <w:fldChar w:fldCharType="end"/>
          </w:r>
          <w:r>
            <w:fldChar w:fldCharType="end"/>
          </w:r>
        </w:p>
        <w:p>
          <w:pPr>
            <w:pStyle w:val="16"/>
            <w:tabs>
              <w:tab w:val="right" w:leader="dot" w:pos="9060"/>
            </w:tabs>
            <w:ind w:firstLine="480"/>
            <w:rPr>
              <w:rFonts w:asciiTheme="minorHAnsi" w:hAnsiTheme="minorHAnsi" w:eastAsiaTheme="minorEastAsia" w:cstheme="minorBidi"/>
              <w:kern w:val="2"/>
              <w:sz w:val="21"/>
              <w:szCs w:val="22"/>
            </w:rPr>
          </w:pPr>
          <w:r>
            <w:fldChar w:fldCharType="begin"/>
          </w:r>
          <w:r>
            <w:instrText xml:space="preserve"> HYPERLINK \l "_Toc129070588" </w:instrText>
          </w:r>
          <w:r>
            <w:fldChar w:fldCharType="separate"/>
          </w:r>
          <w:r>
            <w:rPr>
              <w:rStyle w:val="24"/>
            </w:rPr>
            <w:t>第八章 应急处置措施</w:t>
          </w:r>
          <w:r>
            <w:tab/>
          </w:r>
          <w:r>
            <w:fldChar w:fldCharType="begin"/>
          </w:r>
          <w:r>
            <w:instrText xml:space="preserve"> PAGEREF _Toc129070588 \h </w:instrText>
          </w:r>
          <w:r>
            <w:fldChar w:fldCharType="separate"/>
          </w:r>
          <w:r>
            <w:t>34</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"_Toc129070589" </w:instrText>
          </w:r>
          <w:r>
            <w:fldChar w:fldCharType="separate"/>
          </w:r>
          <w:r>
            <w:rPr>
              <w:rStyle w:val="24"/>
            </w:rPr>
            <w:t>8.1 应急处置小组组成</w:t>
          </w:r>
          <w:r>
            <w:tab/>
          </w:r>
          <w:r>
            <w:fldChar w:fldCharType="begin"/>
          </w:r>
          <w:r>
            <w:instrText xml:space="preserve"> PAGEREF _Toc129070589 \h </w:instrText>
          </w:r>
          <w:r>
            <w:fldChar w:fldCharType="separate"/>
          </w:r>
          <w:r>
            <w:t>34</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"_Toc129070590" </w:instrText>
          </w:r>
          <w:r>
            <w:fldChar w:fldCharType="separate"/>
          </w:r>
          <w:r>
            <w:rPr>
              <w:rStyle w:val="24"/>
            </w:rPr>
            <w:t>8.2 岗位职责</w:t>
          </w:r>
          <w:r>
            <w:tab/>
          </w:r>
          <w:r>
            <w:fldChar w:fldCharType="begin"/>
          </w:r>
          <w:r>
            <w:instrText xml:space="preserve"> PAGEREF _Toc129070590 \h </w:instrText>
          </w:r>
          <w:r>
            <w:fldChar w:fldCharType="separate"/>
          </w:r>
          <w:r>
            <w:t>35</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"_Toc129070591" </w:instrText>
          </w:r>
          <w:r>
            <w:fldChar w:fldCharType="separate"/>
          </w:r>
          <w:r>
            <w:rPr>
              <w:rStyle w:val="24"/>
            </w:rPr>
            <w:t>8.3 应急响应及救援程序</w:t>
          </w:r>
          <w:r>
            <w:tab/>
          </w:r>
          <w:r>
            <w:fldChar w:fldCharType="begin"/>
          </w:r>
          <w:r>
            <w:instrText xml:space="preserve"> PAGEREF _Toc129070591 \h </w:instrText>
          </w:r>
          <w:r>
            <w:fldChar w:fldCharType="separate"/>
          </w:r>
          <w:r>
            <w:t>37</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"_Toc129070592" </w:instrText>
          </w:r>
          <w:r>
            <w:fldChar w:fldCharType="separate"/>
          </w:r>
          <w:r>
            <w:rPr>
              <w:rStyle w:val="24"/>
            </w:rPr>
            <w:t>8.4 应急事件（重大隐患和事故）及其应急措施。</w:t>
          </w:r>
          <w:r>
            <w:tab/>
          </w:r>
          <w:r>
            <w:fldChar w:fldCharType="begin"/>
          </w:r>
          <w:r>
            <w:instrText xml:space="preserve"> PAGEREF _Toc129070592 \h </w:instrText>
          </w:r>
          <w:r>
            <w:fldChar w:fldCharType="separate"/>
          </w:r>
          <w:r>
            <w:t>38</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"_Toc129070593" </w:instrText>
          </w:r>
          <w:r>
            <w:fldChar w:fldCharType="separate"/>
          </w:r>
          <w:r>
            <w:rPr>
              <w:rStyle w:val="24"/>
            </w:rPr>
            <w:t>8.5 救援医院信息(名称、电话、救援线路)。</w:t>
          </w:r>
          <w:r>
            <w:tab/>
          </w:r>
          <w:r>
            <w:fldChar w:fldCharType="begin"/>
          </w:r>
          <w:r>
            <w:instrText xml:space="preserve"> PAGEREF _Toc129070593 \h </w:instrText>
          </w:r>
          <w:r>
            <w:fldChar w:fldCharType="separate"/>
          </w:r>
          <w:r>
            <w:t>39</w:t>
          </w:r>
          <w:r>
            <w:fldChar w:fldCharType="end"/>
          </w:r>
          <w:r>
            <w:fldChar w:fldCharType="end"/>
          </w:r>
        </w:p>
        <w:p>
          <w:pPr>
            <w:pStyle w:val="18"/>
            <w:tabs>
              <w:tab w:val="right" w:leader="dot" w:pos="9060"/>
            </w:tabs>
            <w:ind w:left="480" w:firstLine="480"/>
            <w:rPr>
              <w:rFonts w:asciiTheme="minorHAnsi" w:hAnsiTheme="minorHAnsi" w:eastAsiaTheme="minorEastAsia" w:cstheme="minorBidi"/>
              <w:kern w:val="2"/>
              <w:sz w:val="21"/>
              <w:szCs w:val="22"/>
            </w:rPr>
          </w:pPr>
          <w:r>
            <w:fldChar w:fldCharType="begin"/>
          </w:r>
          <w:r>
            <w:instrText xml:space="preserve"> HYPERLINK \l "_Toc129070594" </w:instrText>
          </w:r>
          <w:r>
            <w:fldChar w:fldCharType="separate"/>
          </w:r>
          <w:r>
            <w:rPr>
              <w:rStyle w:val="24"/>
            </w:rPr>
            <w:t>8.6 应急物资准备。</w:t>
          </w:r>
          <w:r>
            <w:tab/>
          </w:r>
          <w:r>
            <w:fldChar w:fldCharType="begin"/>
          </w:r>
          <w:r>
            <w:instrText xml:space="preserve"> PAGEREF _Toc129070594 \h </w:instrText>
          </w:r>
          <w:r>
            <w:fldChar w:fldCharType="separate"/>
          </w:r>
          <w:r>
            <w:t>40</w:t>
          </w:r>
          <w:r>
            <w:fldChar w:fldCharType="end"/>
          </w:r>
          <w:r>
            <w:fldChar w:fldCharType="end"/>
          </w:r>
        </w:p>
        <w:p>
          <w:pPr>
            <w:ind w:firstLine="480"/>
          </w:pPr>
          <w:r>
            <w:rPr>
              <w:bCs/>
              <w:lang w:val="zh-CN"/>
            </w:rPr>
            <w:fldChar w:fldCharType="end"/>
          </w:r>
        </w:p>
      </w:sdtContent>
    </w:sdt>
    <w:p>
      <w:pPr>
        <w:ind w:firstLine="482"/>
        <w:rPr>
          <w:b/>
          <w:bCs/>
          <w:lang w:val="zh-CN"/>
        </w:rPr>
        <w:sectPr>
          <w:headerReference r:id="rId5" w:type="default"/>
          <w:footerReference r:id="rId6" w:type="default"/>
          <w:pgSz w:w="11906" w:h="16838"/>
          <w:pgMar w:top="1418" w:right="1418" w:bottom="1418" w:left="1418" w:header="567" w:footer="567" w:gutter="0"/>
          <w:pgNumType w:start="1" w:chapStyle="1"/>
          <w:cols w:space="720" w:num="1"/>
          <w:docGrid w:linePitch="312" w:charSpace="0"/>
        </w:sectPr>
      </w:pPr>
    </w:p>
    <w:p>
      <w:pPr>
        <w:pStyle w:val="2"/>
        <w:spacing w:before="120" w:after="120"/>
      </w:pPr>
      <w:bookmarkStart w:id="0" w:name="_Toc121229947"/>
      <w:bookmarkStart w:id="1" w:name="_Toc121230336"/>
      <w:bookmarkStart w:id="2" w:name="_Toc129070539"/>
      <w:bookmarkStart w:id="3" w:name="_Toc121292596"/>
      <w:r>
        <w:rPr>
          <w:rFonts w:hint="eastAsia"/>
        </w:rPr>
        <w:t>工程概况</w:t>
      </w:r>
      <w:bookmarkEnd w:id="0"/>
      <w:bookmarkEnd w:id="1"/>
      <w:bookmarkEnd w:id="2"/>
      <w:bookmarkEnd w:id="3"/>
    </w:p>
    <w:p>
      <w:pPr>
        <w:pStyle w:val="3"/>
        <w:spacing w:before="120" w:after="120"/>
      </w:pPr>
      <w:bookmarkStart w:id="4" w:name="_Toc121230337"/>
      <w:bookmarkStart w:id="5" w:name="_Toc129070540"/>
      <w:bookmarkStart w:id="6" w:name="_Toc121292597"/>
      <w:bookmarkStart w:id="7" w:name="_Toc121229948"/>
      <w:r>
        <w:rPr>
          <w:rFonts w:hint="eastAsia"/>
        </w:rPr>
        <w:t>模板工程概况和特点</w:t>
      </w:r>
      <w:bookmarkEnd w:id="4"/>
      <w:bookmarkEnd w:id="5"/>
      <w:bookmarkEnd w:id="6"/>
      <w:bookmarkEnd w:id="7"/>
    </w:p>
    <w:p>
      <w:pPr>
        <w:ind w:firstLine="480"/>
      </w:pPr>
      <w:r>
        <w:rPr>
          <w:rFonts w:hint="eastAsia"/>
        </w:rPr>
        <w:t>拟建项目位于广东省深圳市</w:t>
      </w:r>
    </w:p>
    <w:p>
      <w:pPr>
        <w:ind w:firstLine="480"/>
      </w:pPr>
      <w:r>
        <w:rPr>
          <w:rFonts w:hint="eastAsia"/>
        </w:rPr>
        <w:t>维沃大厦，地上</w:t>
      </w:r>
      <w:r>
        <w:t>32层，首层层高h=5.6m，2层层高h=4.8m，3层层高h=5.1m，4-10层层高h=4.35m，11层层高h=4.8m，12-21层层高h=4.35m，22层层高h=4.8m，23-31层层高h=4.35m，32层层高h=4.52m，铝模施工标准层从7层墙柱至屋面层梁板，其中10、11、21、22、32层与屋面层由现场铝木结合进行施工，共26层。铝模施工标准层单楼层面积约为2286㎡，暂定总面积层约为56007㎡。</w:t>
      </w:r>
    </w:p>
    <w:p>
      <w:pPr>
        <w:ind w:firstLine="480"/>
      </w:pPr>
      <w:r>
        <w:rPr>
          <w:rFonts w:hint="eastAsia"/>
        </w:rPr>
        <w:t>最大梁7</w:t>
      </w:r>
      <w:r>
        <w:t>00X1000mm，最大板厚150mm。</w:t>
      </w:r>
    </w:p>
    <w:p>
      <w:pPr>
        <w:pStyle w:val="3"/>
        <w:spacing w:before="120" w:after="120"/>
      </w:pPr>
      <w:bookmarkStart w:id="8" w:name="_Toc129070541"/>
      <w:bookmarkStart w:id="9" w:name="_Toc121292598"/>
      <w:bookmarkStart w:id="10" w:name="_Toc121230338"/>
      <w:bookmarkStart w:id="11" w:name="_Toc121229949"/>
      <w:r>
        <w:rPr>
          <w:rFonts w:hint="eastAsia"/>
        </w:rPr>
        <w:t>施工平面及立面布置</w:t>
      </w:r>
      <w:bookmarkEnd w:id="8"/>
      <w:bookmarkEnd w:id="9"/>
      <w:bookmarkEnd w:id="10"/>
      <w:bookmarkEnd w:id="11"/>
    </w:p>
    <w:p>
      <w:pPr>
        <w:ind w:firstLine="480"/>
      </w:pPr>
      <w:r>
        <w:rPr>
          <w:rFonts w:hint="eastAsia"/>
        </w:rPr>
        <w:t>本项目现场垂直运输设置两台塔吊和两台施工电梯，具体位置见施工平面布置图。型号为中联</w:t>
      </w:r>
      <w:r>
        <w:t>W450-25U-138Z-A (臂长5</w:t>
      </w:r>
      <w:r>
        <w:rPr>
          <w:rFonts w:hint="eastAsia"/>
        </w:rPr>
        <w:t>5</w:t>
      </w:r>
      <w:r>
        <w:t>米）,</w:t>
      </w:r>
      <w:r>
        <w:rPr>
          <w:rFonts w:hint="eastAsia"/>
        </w:rPr>
        <w:t>中联</w:t>
      </w:r>
      <w:r>
        <w:t>W450-25U-138Z-A（臂长</w:t>
      </w:r>
      <w:r>
        <w:rPr>
          <w:rFonts w:hint="eastAsia"/>
        </w:rPr>
        <w:t>47.5</w:t>
      </w:r>
      <w:r>
        <w:t>米）；施工电梯型号为</w:t>
      </w:r>
      <w:r>
        <w:rPr>
          <w:rFonts w:hint="eastAsia"/>
        </w:rPr>
        <w:t>外挂电梯</w:t>
      </w:r>
      <w:r>
        <w:t>SC200/200G</w:t>
      </w:r>
      <w:r>
        <w:rPr>
          <w:rFonts w:hint="eastAsia"/>
        </w:rPr>
        <w:t>，井道电梯</w:t>
      </w:r>
      <w:r>
        <w:t xml:space="preserve"> SC200G。</w:t>
      </w:r>
    </w:p>
    <w:p>
      <w:pPr>
        <w:keepNext/>
        <w:shd w:val="clear" w:color="auto" w:fill="FFFFFF"/>
        <w:spacing w:line="480" w:lineRule="atLeast"/>
        <w:ind w:firstLine="480"/>
        <w:jc w:val="center"/>
      </w:pPr>
    </w:p>
    <w:p>
      <w:pPr>
        <w:pStyle w:val="3"/>
        <w:spacing w:before="120" w:after="120"/>
      </w:pPr>
      <w:bookmarkStart w:id="12" w:name="_Toc121292600"/>
      <w:bookmarkStart w:id="13" w:name="_Toc121230340"/>
      <w:bookmarkStart w:id="14" w:name="_Toc129070542"/>
      <w:bookmarkStart w:id="15" w:name="_Toc121229951"/>
      <w:r>
        <w:rPr>
          <w:rFonts w:hint="eastAsia"/>
        </w:rPr>
        <w:t>风险辨识与分级</w:t>
      </w:r>
      <w:bookmarkEnd w:id="12"/>
      <w:bookmarkEnd w:id="13"/>
      <w:bookmarkEnd w:id="14"/>
      <w:bookmarkEnd w:id="15"/>
    </w:p>
    <w:tbl>
      <w:tblPr>
        <w:tblStyle w:val="21"/>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421"/>
        <w:gridCol w:w="1020"/>
        <w:gridCol w:w="5217"/>
        <w:gridCol w:w="992"/>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tblHeader/>
          <w:jc w:val="center"/>
        </w:trPr>
        <w:tc>
          <w:tcPr>
            <w:tcW w:w="421" w:type="dxa"/>
            <w:shd w:val="clear" w:color="auto" w:fill="DEEAF6" w:themeFill="accent5" w:themeFillTint="33"/>
            <w:tcMar>
              <w:top w:w="15" w:type="dxa"/>
              <w:left w:w="15" w:type="dxa"/>
              <w:bottom w:w="15" w:type="dxa"/>
              <w:right w:w="15" w:type="dxa"/>
            </w:tcMar>
            <w:vAlign w:val="center"/>
          </w:tcPr>
          <w:p>
            <w:pPr>
              <w:pStyle w:val="29"/>
              <w:spacing w:before="60" w:after="60"/>
            </w:pPr>
            <w:r>
              <w:rPr>
                <w:rFonts w:hint="eastAsia"/>
              </w:rPr>
              <w:t>序号</w:t>
            </w:r>
          </w:p>
        </w:tc>
        <w:tc>
          <w:tcPr>
            <w:tcW w:w="6237" w:type="dxa"/>
            <w:gridSpan w:val="2"/>
            <w:shd w:val="clear" w:color="auto" w:fill="DEEAF6" w:themeFill="accent5" w:themeFillTint="33"/>
            <w:tcMar>
              <w:top w:w="15" w:type="dxa"/>
              <w:left w:w="15" w:type="dxa"/>
              <w:bottom w:w="15" w:type="dxa"/>
              <w:right w:w="15" w:type="dxa"/>
            </w:tcMar>
            <w:vAlign w:val="center"/>
          </w:tcPr>
          <w:p>
            <w:pPr>
              <w:pStyle w:val="29"/>
              <w:spacing w:before="60" w:after="60"/>
            </w:pPr>
            <w:r>
              <w:rPr>
                <w:rFonts w:hint="eastAsia"/>
              </w:rPr>
              <w:t>风险辨识</w:t>
            </w:r>
          </w:p>
        </w:tc>
        <w:tc>
          <w:tcPr>
            <w:tcW w:w="992" w:type="dxa"/>
            <w:shd w:val="clear" w:color="auto" w:fill="DEEAF6" w:themeFill="accent5" w:themeFillTint="33"/>
            <w:tcMar>
              <w:top w:w="15" w:type="dxa"/>
              <w:left w:w="15" w:type="dxa"/>
              <w:bottom w:w="15" w:type="dxa"/>
              <w:right w:w="15" w:type="dxa"/>
            </w:tcMar>
            <w:vAlign w:val="center"/>
          </w:tcPr>
          <w:p>
            <w:pPr>
              <w:pStyle w:val="29"/>
              <w:spacing w:before="60" w:after="60"/>
            </w:pPr>
            <w:r>
              <w:rPr>
                <w:rFonts w:hint="eastAsia"/>
              </w:rPr>
              <w:t>可能导致事故类型</w:t>
            </w:r>
          </w:p>
        </w:tc>
        <w:tc>
          <w:tcPr>
            <w:tcW w:w="1450" w:type="dxa"/>
            <w:shd w:val="clear" w:color="auto" w:fill="DEEAF6" w:themeFill="accent5" w:themeFillTint="33"/>
            <w:tcMar>
              <w:top w:w="15" w:type="dxa"/>
              <w:left w:w="15" w:type="dxa"/>
              <w:bottom w:w="15" w:type="dxa"/>
              <w:right w:w="15" w:type="dxa"/>
            </w:tcMar>
            <w:vAlign w:val="center"/>
          </w:tcPr>
          <w:p>
            <w:pPr>
              <w:pStyle w:val="29"/>
              <w:spacing w:before="60" w:after="60"/>
            </w:pPr>
            <w:r>
              <w:rPr>
                <w:rFonts w:hint="eastAsia"/>
              </w:rPr>
              <w:t>风险分级/风险标识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p>
        </w:tc>
        <w:tc>
          <w:tcPr>
            <w:tcW w:w="1020" w:type="dxa"/>
            <w:vMerge w:val="restart"/>
            <w:shd w:val="clear" w:color="auto" w:fill="FFFFFF" w:themeFill="background1"/>
            <w:tcMar>
              <w:top w:w="15" w:type="dxa"/>
              <w:left w:w="15" w:type="dxa"/>
              <w:bottom w:w="15" w:type="dxa"/>
              <w:right w:w="15" w:type="dxa"/>
            </w:tcMar>
            <w:vAlign w:val="center"/>
          </w:tcPr>
          <w:p>
            <w:pPr>
              <w:pStyle w:val="29"/>
              <w:spacing w:before="60" w:after="60"/>
            </w:pPr>
            <w:r>
              <w:rPr>
                <w:rFonts w:hint="eastAsia"/>
              </w:rPr>
              <w:t>施工方案</w:t>
            </w: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各类工具式模板工程（包括滑模、爬模、飞模、隧道模工程）未编制专项施工方案或方案未进行专家论证</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一级/红色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3</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搭设高度8m及以上，或搭设跨度18m及以上，或施工总荷载(设计值</w:t>
            </w:r>
            <w:r>
              <w:t>)</w:t>
            </w:r>
            <w:r>
              <w:rPr>
                <w:rFonts w:hint="eastAsia"/>
              </w:rPr>
              <w:t>15kN/㎡及以上，或集中线荷载(设计值</w:t>
            </w:r>
            <w:r>
              <w:t>)</w:t>
            </w:r>
            <w:r>
              <w:rPr>
                <w:rFonts w:hint="eastAsia"/>
              </w:rPr>
              <w:t>20kN/m及以上工程施工未编制专项方案或未进行专家论证</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一级/红色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t>4</w:t>
            </w:r>
          </w:p>
        </w:tc>
        <w:tc>
          <w:tcPr>
            <w:tcW w:w="102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承重支撑体系</w:t>
            </w: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用于钢结构安装等满堂支撑体系，承受单点集中荷载700Kg以上工程未编制专项方案或未进行专家论证</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一级/红色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5</w:t>
            </w:r>
          </w:p>
        </w:tc>
        <w:tc>
          <w:tcPr>
            <w:tcW w:w="1020" w:type="dxa"/>
            <w:vMerge w:val="restart"/>
            <w:shd w:val="clear" w:color="auto" w:fill="FFFFFF" w:themeFill="background1"/>
            <w:tcMar>
              <w:top w:w="15" w:type="dxa"/>
              <w:left w:w="15" w:type="dxa"/>
              <w:bottom w:w="15" w:type="dxa"/>
              <w:right w:w="15" w:type="dxa"/>
            </w:tcMar>
            <w:vAlign w:val="center"/>
          </w:tcPr>
          <w:p>
            <w:pPr>
              <w:pStyle w:val="29"/>
              <w:spacing w:before="60" w:after="60"/>
            </w:pPr>
            <w:r>
              <w:rPr>
                <w:rFonts w:hint="eastAsia"/>
              </w:rPr>
              <w:t>模板吊运</w:t>
            </w: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模板、支架材料吊运过程未使用专用吊具，存在绑扎不牢、长短料混吊、单点吊运等违规行为</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物体打击</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二级/橙色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6</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大（钢）模板吊运过程存在绑扎不牢，吊装绳索、卡具和吊具不合格；拼装大模板上的自制吊具、吊钩不合格；同时吊运两块柱模、角模，吊运过程材料失稳掉落</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物体打击</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二级/橙色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7</w:t>
            </w:r>
          </w:p>
        </w:tc>
        <w:tc>
          <w:tcPr>
            <w:tcW w:w="1020" w:type="dxa"/>
            <w:vMerge w:val="restart"/>
            <w:shd w:val="clear" w:color="auto" w:fill="FFFFFF" w:themeFill="background1"/>
            <w:tcMar>
              <w:top w:w="15" w:type="dxa"/>
              <w:left w:w="15" w:type="dxa"/>
              <w:bottom w:w="15" w:type="dxa"/>
              <w:right w:w="15" w:type="dxa"/>
            </w:tcMar>
            <w:vAlign w:val="center"/>
          </w:tcPr>
          <w:p>
            <w:pPr>
              <w:pStyle w:val="29"/>
              <w:spacing w:before="60" w:after="60"/>
            </w:pPr>
            <w:r>
              <w:rPr>
                <w:rFonts w:hint="eastAsia"/>
              </w:rPr>
              <w:t>模板堆放</w:t>
            </w: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模板堆放超高，作业平台集中堆载或在作业平台边缘及楼层临边等部位堆放不平稳，模板滑落导致人员受伤</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物体打击</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三级/黄色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8</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未设置独立的大（钢）模板存放起吊区域，现场模板存放使用单支腿，无支腿的大模板未设置专用插放架或无防滑移倾倒措施；</w:t>
            </w:r>
          </w:p>
          <w:p>
            <w:pPr>
              <w:pStyle w:val="29"/>
              <w:spacing w:before="60" w:after="60"/>
              <w:jc w:val="left"/>
            </w:pPr>
          </w:p>
          <w:p>
            <w:pPr>
              <w:pStyle w:val="29"/>
              <w:spacing w:before="60" w:after="60"/>
              <w:jc w:val="left"/>
            </w:pP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物体打击</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三级/黄色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t>9</w:t>
            </w:r>
          </w:p>
        </w:tc>
        <w:tc>
          <w:tcPr>
            <w:tcW w:w="1020" w:type="dxa"/>
            <w:vMerge w:val="restart"/>
            <w:shd w:val="clear" w:color="auto" w:fill="FFFFFF" w:themeFill="background1"/>
            <w:tcMar>
              <w:top w:w="15" w:type="dxa"/>
              <w:left w:w="15" w:type="dxa"/>
              <w:bottom w:w="15" w:type="dxa"/>
              <w:right w:w="15" w:type="dxa"/>
            </w:tcMar>
            <w:vAlign w:val="center"/>
          </w:tcPr>
          <w:p>
            <w:pPr>
              <w:pStyle w:val="29"/>
              <w:spacing w:before="60" w:after="60"/>
            </w:pPr>
            <w:r>
              <w:rPr>
                <w:rFonts w:hint="eastAsia"/>
              </w:rPr>
              <w:t>模板安装</w:t>
            </w: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作业人员在临边作业时，脚手板未满铺、未固定，无防护栏杆</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高处坠落</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三级/黄色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r>
              <w:t>0</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大模板单侧立放时，未设置可靠的防倾倒措施</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物体打击</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三级/黄色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r>
              <w:t>1</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利用模板支架上下攀登，在墙顶、独立梁及其他狭窄而无防护的木板上行走，失足坠落；</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高处坠落</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三级/黄色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r>
              <w:t>2</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铝模安装工序错误，未逐一安装支架及底板模板，采用先安装模板后搭设支架方式；</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二级/橙色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r>
              <w:t>3</w:t>
            </w:r>
          </w:p>
        </w:tc>
        <w:tc>
          <w:tcPr>
            <w:tcW w:w="1020" w:type="dxa"/>
            <w:vMerge w:val="restart"/>
            <w:shd w:val="clear" w:color="auto" w:fill="FFFFFF" w:themeFill="background1"/>
            <w:tcMar>
              <w:top w:w="15" w:type="dxa"/>
              <w:left w:w="15" w:type="dxa"/>
              <w:bottom w:w="15" w:type="dxa"/>
              <w:right w:w="15" w:type="dxa"/>
            </w:tcMar>
            <w:vAlign w:val="center"/>
          </w:tcPr>
          <w:p>
            <w:pPr>
              <w:pStyle w:val="29"/>
              <w:spacing w:before="60" w:after="60"/>
            </w:pPr>
            <w:r>
              <w:rPr>
                <w:rFonts w:hint="eastAsia"/>
              </w:rPr>
              <w:t>模板支架</w:t>
            </w: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模板支撑系统钢管立杆间距，横杆步距不符合方案设计要求</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二级/橙色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r>
              <w:t>4</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立杆顶部自由端高度过大，扫地杆距地面过高</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二级/橙色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r>
              <w:t>5</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作业人员按常规支模体系搭设，梁底立杆缺失，扫地杆、水平杆缺失</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一级/红色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t>16</w:t>
            </w:r>
          </w:p>
        </w:tc>
        <w:tc>
          <w:tcPr>
            <w:tcW w:w="1020" w:type="dxa"/>
            <w:vMerge w:val="restart"/>
            <w:shd w:val="clear" w:color="auto" w:fill="FFFFFF" w:themeFill="background1"/>
            <w:tcMar>
              <w:top w:w="15" w:type="dxa"/>
              <w:left w:w="15" w:type="dxa"/>
              <w:bottom w:w="15" w:type="dxa"/>
              <w:right w:w="15" w:type="dxa"/>
            </w:tcMar>
            <w:vAlign w:val="center"/>
          </w:tcPr>
          <w:p>
            <w:pPr>
              <w:pStyle w:val="29"/>
              <w:spacing w:before="60" w:after="60"/>
            </w:pPr>
            <w:r>
              <w:rPr>
                <w:rFonts w:hint="eastAsia"/>
              </w:rPr>
              <w:t>模板拆除</w:t>
            </w: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拆除顺序不当</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三级/黄色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t>17</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拆除区域无警示线或无监护人</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三级/黄色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r>
              <w:t>8</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留有未拆除的悬空模板</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三级/黄色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1</w:t>
            </w:r>
            <w:r>
              <w:t>9</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未达到强度规定提前拆底模</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二级/橙色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2</w:t>
            </w:r>
            <w:r>
              <w:t>0</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模板高度超过2m无防护措施</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四级/蓝色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1" w:type="dxa"/>
            <w:shd w:val="clear" w:color="auto" w:fill="E2EFD9" w:themeFill="accent6" w:themeFillTint="33"/>
            <w:tcMar>
              <w:top w:w="15" w:type="dxa"/>
              <w:left w:w="15" w:type="dxa"/>
              <w:bottom w:w="15" w:type="dxa"/>
              <w:right w:w="15" w:type="dxa"/>
            </w:tcMar>
            <w:vAlign w:val="center"/>
          </w:tcPr>
          <w:p>
            <w:pPr>
              <w:pStyle w:val="29"/>
              <w:spacing w:before="60" w:after="60"/>
            </w:pPr>
            <w:r>
              <w:rPr>
                <w:rFonts w:hint="eastAsia"/>
              </w:rPr>
              <w:t>2</w:t>
            </w:r>
            <w:r>
              <w:t>1</w:t>
            </w:r>
          </w:p>
        </w:tc>
        <w:tc>
          <w:tcPr>
            <w:tcW w:w="1020" w:type="dxa"/>
            <w:vMerge w:val="continue"/>
            <w:shd w:val="clear" w:color="auto" w:fill="FFFFFF" w:themeFill="background1"/>
            <w:tcMar>
              <w:top w:w="15" w:type="dxa"/>
              <w:left w:w="15" w:type="dxa"/>
              <w:bottom w:w="15" w:type="dxa"/>
              <w:right w:w="15" w:type="dxa"/>
            </w:tcMar>
            <w:vAlign w:val="center"/>
          </w:tcPr>
          <w:p>
            <w:pPr>
              <w:pStyle w:val="29"/>
              <w:spacing w:before="60" w:after="60"/>
            </w:pPr>
          </w:p>
        </w:tc>
        <w:tc>
          <w:tcPr>
            <w:tcW w:w="5217" w:type="dxa"/>
            <w:shd w:val="clear" w:color="auto" w:fill="FFFFFF" w:themeFill="background1"/>
            <w:tcMar>
              <w:top w:w="15" w:type="dxa"/>
              <w:left w:w="15" w:type="dxa"/>
              <w:bottom w:w="15" w:type="dxa"/>
              <w:right w:w="15" w:type="dxa"/>
            </w:tcMar>
            <w:vAlign w:val="center"/>
          </w:tcPr>
          <w:p>
            <w:pPr>
              <w:pStyle w:val="29"/>
              <w:spacing w:before="60" w:after="60"/>
              <w:jc w:val="left"/>
            </w:pPr>
            <w:r>
              <w:rPr>
                <w:rFonts w:hint="eastAsia"/>
              </w:rPr>
              <w:t>拆下的模板码放高度过高</w:t>
            </w:r>
          </w:p>
        </w:tc>
        <w:tc>
          <w:tcPr>
            <w:tcW w:w="992"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坍塌</w:t>
            </w:r>
          </w:p>
        </w:tc>
        <w:tc>
          <w:tcPr>
            <w:tcW w:w="1450" w:type="dxa"/>
            <w:shd w:val="clear" w:color="auto" w:fill="FFFFFF" w:themeFill="background1"/>
            <w:tcMar>
              <w:top w:w="15" w:type="dxa"/>
              <w:left w:w="15" w:type="dxa"/>
              <w:bottom w:w="15" w:type="dxa"/>
              <w:right w:w="15" w:type="dxa"/>
            </w:tcMar>
            <w:vAlign w:val="center"/>
          </w:tcPr>
          <w:p>
            <w:pPr>
              <w:pStyle w:val="29"/>
              <w:spacing w:before="60" w:after="60"/>
            </w:pPr>
            <w:r>
              <w:rPr>
                <w:rFonts w:hint="eastAsia"/>
              </w:rPr>
              <w:t>四级/蓝色</w:t>
            </w:r>
          </w:p>
        </w:tc>
      </w:tr>
    </w:tbl>
    <w:p>
      <w:pPr>
        <w:shd w:val="clear" w:color="auto" w:fill="FFFFFF"/>
        <w:spacing w:line="480" w:lineRule="atLeast"/>
        <w:ind w:firstLine="512"/>
        <w:rPr>
          <w:rFonts w:cs="宋体"/>
          <w:color w:val="333333"/>
          <w:spacing w:val="8"/>
        </w:rPr>
      </w:pPr>
    </w:p>
    <w:p>
      <w:pPr>
        <w:pStyle w:val="3"/>
        <w:spacing w:before="120" w:after="120"/>
      </w:pPr>
      <w:bookmarkStart w:id="16" w:name="_Toc121230341"/>
      <w:bookmarkStart w:id="17" w:name="_Toc129070543"/>
      <w:bookmarkStart w:id="18" w:name="_Toc121292601"/>
      <w:bookmarkStart w:id="19" w:name="_Toc121229952"/>
      <w:r>
        <w:rPr>
          <w:rFonts w:hint="eastAsia"/>
        </w:rPr>
        <w:t>施工地的气候特征和季节性天气</w:t>
      </w:r>
      <w:bookmarkEnd w:id="16"/>
      <w:bookmarkEnd w:id="17"/>
      <w:bookmarkEnd w:id="18"/>
      <w:bookmarkEnd w:id="19"/>
    </w:p>
    <w:p>
      <w:pPr>
        <w:ind w:firstLine="480"/>
      </w:pPr>
      <w:r>
        <w:rPr>
          <w:rFonts w:hint="eastAsia"/>
        </w:rPr>
        <w:t>本工程位于广东属深圳市，属于东亚季风区，汛期长，台风暴雨多，广东属于东亚季风区，气候特点有夏长冬暖，雨量丰沛，汛期长，夏秋多台风暴雨。</w:t>
      </w:r>
    </w:p>
    <w:p>
      <w:pPr>
        <w:pStyle w:val="2"/>
        <w:spacing w:before="120" w:after="120"/>
      </w:pPr>
      <w:bookmarkStart w:id="20" w:name="_Toc129070545"/>
      <w:bookmarkStart w:id="21" w:name="_Toc121292603"/>
      <w:bookmarkStart w:id="22" w:name="_Toc121229954"/>
      <w:bookmarkStart w:id="23" w:name="_Toc121230343"/>
      <w:r>
        <w:rPr>
          <w:rFonts w:hint="eastAsia"/>
        </w:rPr>
        <w:t>编制依据</w:t>
      </w:r>
      <w:bookmarkEnd w:id="20"/>
      <w:bookmarkEnd w:id="21"/>
      <w:bookmarkEnd w:id="22"/>
      <w:bookmarkEnd w:id="23"/>
    </w:p>
    <w:p>
      <w:pPr>
        <w:pStyle w:val="3"/>
        <w:spacing w:before="120" w:after="120"/>
      </w:pPr>
      <w:bookmarkStart w:id="24" w:name="_Toc121229955"/>
      <w:bookmarkStart w:id="25" w:name="_Toc121292604"/>
      <w:bookmarkStart w:id="26" w:name="_Toc121230344"/>
      <w:bookmarkStart w:id="27" w:name="_Toc129070546"/>
      <w:r>
        <w:rPr>
          <w:rFonts w:hint="eastAsia"/>
        </w:rPr>
        <w:t>法律法规、标准规范依据</w:t>
      </w:r>
      <w:bookmarkEnd w:id="24"/>
      <w:bookmarkEnd w:id="25"/>
      <w:bookmarkEnd w:id="26"/>
      <w:bookmarkEnd w:id="27"/>
    </w:p>
    <w:p>
      <w:pPr>
        <w:pStyle w:val="3"/>
        <w:spacing w:before="120" w:after="120"/>
      </w:pPr>
      <w:bookmarkStart w:id="28" w:name="_Toc121292605"/>
      <w:bookmarkStart w:id="29" w:name="_Toc129070547"/>
      <w:bookmarkStart w:id="30" w:name="_Toc121229956"/>
      <w:bookmarkStart w:id="31" w:name="_Toc121230345"/>
      <w:r>
        <w:rPr>
          <w:rFonts w:hint="eastAsia"/>
        </w:rPr>
        <w:t>项目文件</w:t>
      </w:r>
      <w:bookmarkEnd w:id="28"/>
      <w:bookmarkEnd w:id="29"/>
      <w:bookmarkEnd w:id="30"/>
      <w:bookmarkEnd w:id="31"/>
    </w:p>
    <w:p>
      <w:pPr>
        <w:pStyle w:val="3"/>
        <w:spacing w:before="120" w:after="120"/>
      </w:pPr>
      <w:bookmarkStart w:id="32" w:name="_Toc121292606"/>
      <w:bookmarkStart w:id="33" w:name="_Toc121229957"/>
      <w:bookmarkStart w:id="34" w:name="_Toc121230346"/>
      <w:bookmarkStart w:id="35" w:name="_Toc129070548"/>
      <w:r>
        <w:rPr>
          <w:rFonts w:hint="eastAsia"/>
        </w:rPr>
        <w:t>施工组织设计</w:t>
      </w:r>
      <w:bookmarkEnd w:id="32"/>
      <w:bookmarkEnd w:id="33"/>
      <w:bookmarkEnd w:id="34"/>
      <w:bookmarkEnd w:id="35"/>
    </w:p>
    <w:p>
      <w:pPr>
        <w:shd w:val="clear" w:color="auto" w:fill="FFFFFF"/>
        <w:spacing w:line="480" w:lineRule="atLeast"/>
        <w:ind w:firstLine="512"/>
        <w:rPr>
          <w:rFonts w:cs="宋体"/>
          <w:color w:val="333333"/>
          <w:spacing w:val="8"/>
        </w:rPr>
      </w:pPr>
    </w:p>
    <w:p>
      <w:pPr>
        <w:pStyle w:val="2"/>
        <w:spacing w:before="120" w:after="120"/>
      </w:pPr>
      <w:bookmarkStart w:id="36" w:name="_Toc121230347"/>
      <w:bookmarkStart w:id="37" w:name="_Toc121292607"/>
      <w:bookmarkStart w:id="38" w:name="_Toc121229958"/>
      <w:bookmarkStart w:id="39" w:name="_Toc129070549"/>
      <w:r>
        <w:rPr>
          <w:rFonts w:hint="eastAsia"/>
        </w:rPr>
        <w:t>施工计划</w:t>
      </w:r>
      <w:bookmarkEnd w:id="36"/>
      <w:bookmarkEnd w:id="37"/>
      <w:bookmarkEnd w:id="38"/>
      <w:bookmarkEnd w:id="39"/>
    </w:p>
    <w:p>
      <w:pPr>
        <w:pStyle w:val="3"/>
        <w:spacing w:before="120" w:after="120"/>
      </w:pPr>
      <w:bookmarkStart w:id="40" w:name="_Toc121230348"/>
      <w:bookmarkStart w:id="41" w:name="_Toc121292608"/>
      <w:bookmarkStart w:id="42" w:name="_Toc129070550"/>
      <w:bookmarkStart w:id="43" w:name="_Toc121229959"/>
      <w:r>
        <w:rPr>
          <w:rFonts w:hint="eastAsia"/>
        </w:rPr>
        <w:t>施工进度计划</w:t>
      </w:r>
      <w:bookmarkEnd w:id="40"/>
      <w:bookmarkEnd w:id="41"/>
      <w:bookmarkEnd w:id="42"/>
      <w:bookmarkEnd w:id="43"/>
    </w:p>
    <w:p>
      <w:pPr>
        <w:pStyle w:val="9"/>
      </w:pPr>
      <w:r>
        <w:t xml:space="preserve">表 </w:t>
      </w:r>
      <w:r>
        <w:fldChar w:fldCharType="begin"/>
      </w:r>
      <w:r>
        <w:instrText xml:space="preserve"> STYLEREF 2 \s </w:instrText>
      </w:r>
      <w:r>
        <w:fldChar w:fldCharType="separate"/>
      </w:r>
      <w:r>
        <w:t>3.1</w:t>
      </w:r>
      <w:r>
        <w:fldChar w:fldCharType="end"/>
      </w:r>
      <w:r>
        <w:noBreakHyphen/>
      </w:r>
      <w:r>
        <w:fldChar w:fldCharType="begin"/>
      </w:r>
      <w:r>
        <w:instrText xml:space="preserve"> SEQ 表 \* ARABIC \s 2 </w:instrText>
      </w:r>
      <w:r>
        <w:fldChar w:fldCharType="separate"/>
      </w:r>
      <w:r>
        <w:t>1</w:t>
      </w:r>
      <w:r>
        <w:fldChar w:fldCharType="end"/>
      </w:r>
      <w:r>
        <w:t xml:space="preserve">  </w:t>
      </w:r>
      <w:r>
        <w:rPr>
          <w:rFonts w:hint="eastAsia"/>
        </w:rPr>
        <w:t>施工进度计划表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1"/>
        <w:gridCol w:w="1800"/>
        <w:gridCol w:w="2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1" w:type="dxa"/>
            <w:shd w:val="clear" w:color="auto" w:fill="DEEAF6"/>
            <w:vAlign w:val="center"/>
          </w:tcPr>
          <w:p>
            <w:pPr>
              <w:pStyle w:val="29"/>
              <w:spacing w:before="60" w:after="60"/>
              <w:rPr>
                <w:lang w:val="zh-CN"/>
              </w:rPr>
            </w:pPr>
            <w:r>
              <w:rPr>
                <w:rFonts w:hint="eastAsia"/>
                <w:lang w:val="zh-CN"/>
              </w:rPr>
              <w:t>部位</w:t>
            </w:r>
          </w:p>
        </w:tc>
        <w:tc>
          <w:tcPr>
            <w:tcW w:w="1800" w:type="dxa"/>
            <w:shd w:val="clear" w:color="auto" w:fill="DEEAF6"/>
            <w:vAlign w:val="center"/>
          </w:tcPr>
          <w:p>
            <w:pPr>
              <w:pStyle w:val="29"/>
              <w:spacing w:before="60" w:after="60"/>
              <w:rPr>
                <w:lang w:val="zh-CN"/>
              </w:rPr>
            </w:pPr>
            <w:r>
              <w:rPr>
                <w:rFonts w:hint="eastAsia"/>
                <w:lang w:val="zh-CN"/>
              </w:rPr>
              <w:t>计划工期</w:t>
            </w:r>
          </w:p>
        </w:tc>
        <w:tc>
          <w:tcPr>
            <w:tcW w:w="2836" w:type="dxa"/>
            <w:shd w:val="clear" w:color="auto" w:fill="DEEAF6"/>
            <w:vAlign w:val="center"/>
          </w:tcPr>
          <w:p>
            <w:pPr>
              <w:pStyle w:val="29"/>
              <w:spacing w:before="60" w:after="60"/>
              <w:rPr>
                <w:lang w:val="zh-CN"/>
              </w:rPr>
            </w:pPr>
            <w:r>
              <w:rPr>
                <w:rFonts w:hint="eastAsia"/>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1" w:type="dxa"/>
            <w:vAlign w:val="center"/>
          </w:tcPr>
          <w:p>
            <w:pPr>
              <w:pStyle w:val="29"/>
              <w:spacing w:before="60" w:after="60"/>
              <w:rPr>
                <w:lang w:val="zh-CN"/>
              </w:rPr>
            </w:pPr>
            <w:r>
              <w:rPr>
                <w:lang w:val="zh-CN"/>
              </w:rPr>
              <w:t>7</w:t>
            </w:r>
            <w:r>
              <w:rPr>
                <w:rFonts w:hint="eastAsia"/>
                <w:lang w:val="zh-CN"/>
              </w:rPr>
              <w:t>层墙柱</w:t>
            </w:r>
            <w:r>
              <w:rPr>
                <w:lang w:val="zh-CN"/>
              </w:rPr>
              <w:t>8</w:t>
            </w:r>
            <w:r>
              <w:rPr>
                <w:rFonts w:hint="eastAsia"/>
                <w:lang w:val="zh-CN"/>
              </w:rPr>
              <w:t>层梁板</w:t>
            </w:r>
          </w:p>
        </w:tc>
        <w:tc>
          <w:tcPr>
            <w:tcW w:w="1800" w:type="dxa"/>
            <w:vAlign w:val="center"/>
          </w:tcPr>
          <w:p>
            <w:pPr>
              <w:pStyle w:val="29"/>
              <w:spacing w:before="60" w:after="60"/>
              <w:rPr>
                <w:lang w:val="zh-CN"/>
              </w:rPr>
            </w:pPr>
            <w:r>
              <w:t>10</w:t>
            </w:r>
            <w:r>
              <w:rPr>
                <w:rFonts w:hint="eastAsia"/>
                <w:lang w:val="zh-CN"/>
              </w:rPr>
              <w:t>天</w:t>
            </w:r>
          </w:p>
        </w:tc>
        <w:tc>
          <w:tcPr>
            <w:tcW w:w="2836" w:type="dxa"/>
            <w:vAlign w:val="center"/>
          </w:tcPr>
          <w:p>
            <w:pPr>
              <w:pStyle w:val="29"/>
              <w:spacing w:before="60" w:after="60"/>
            </w:pPr>
            <w:r>
              <w:rPr>
                <w:rFonts w:hint="eastAsia"/>
                <w:lang w:val="zh-CN"/>
              </w:rPr>
              <w:t>铝合金模板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1" w:type="dxa"/>
            <w:vAlign w:val="center"/>
          </w:tcPr>
          <w:p>
            <w:pPr>
              <w:pStyle w:val="29"/>
              <w:spacing w:before="60" w:after="60"/>
              <w:rPr>
                <w:lang w:val="zh-CN"/>
              </w:rPr>
            </w:pPr>
            <w:r>
              <w:rPr>
                <w:lang w:val="zh-CN"/>
              </w:rPr>
              <w:t>8</w:t>
            </w:r>
            <w:r>
              <w:rPr>
                <w:rFonts w:hint="eastAsia"/>
                <w:lang w:val="zh-CN"/>
              </w:rPr>
              <w:t>层墙柱</w:t>
            </w:r>
            <w:r>
              <w:rPr>
                <w:lang w:val="zh-CN"/>
              </w:rPr>
              <w:t>9</w:t>
            </w:r>
            <w:r>
              <w:rPr>
                <w:rFonts w:hint="eastAsia"/>
                <w:lang w:val="zh-CN"/>
              </w:rPr>
              <w:t>层梁板</w:t>
            </w:r>
          </w:p>
        </w:tc>
        <w:tc>
          <w:tcPr>
            <w:tcW w:w="1800" w:type="dxa"/>
            <w:vAlign w:val="center"/>
          </w:tcPr>
          <w:p>
            <w:pPr>
              <w:pStyle w:val="29"/>
              <w:spacing w:before="60" w:after="60"/>
              <w:rPr>
                <w:lang w:val="zh-CN"/>
              </w:rPr>
            </w:pPr>
            <w:r>
              <w:rPr>
                <w:lang w:val="zh-CN"/>
              </w:rPr>
              <w:t>7</w:t>
            </w:r>
            <w:r>
              <w:rPr>
                <w:rFonts w:hint="eastAsia"/>
                <w:lang w:val="zh-CN"/>
              </w:rPr>
              <w:t>天</w:t>
            </w:r>
          </w:p>
        </w:tc>
        <w:tc>
          <w:tcPr>
            <w:tcW w:w="2836" w:type="dxa"/>
            <w:vAlign w:val="center"/>
          </w:tcPr>
          <w:p>
            <w:pPr>
              <w:pStyle w:val="29"/>
              <w:spacing w:before="60" w:after="60"/>
            </w:pPr>
            <w:r>
              <w:rPr>
                <w:rFonts w:hint="eastAsia"/>
                <w:lang w:val="zh-CN"/>
              </w:rPr>
              <w:t>铝合金模板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1" w:type="dxa"/>
            <w:vAlign w:val="center"/>
          </w:tcPr>
          <w:p>
            <w:pPr>
              <w:pStyle w:val="29"/>
              <w:spacing w:before="60" w:after="60"/>
              <w:rPr>
                <w:lang w:val="zh-CN"/>
              </w:rPr>
            </w:pPr>
            <w:r>
              <w:rPr>
                <w:lang w:val="zh-CN"/>
              </w:rPr>
              <w:t>9</w:t>
            </w:r>
            <w:r>
              <w:rPr>
                <w:rFonts w:hint="eastAsia"/>
                <w:lang w:val="zh-CN"/>
              </w:rPr>
              <w:t>层墙柱</w:t>
            </w:r>
            <w:r>
              <w:rPr>
                <w:lang w:val="zh-CN"/>
              </w:rPr>
              <w:t>10</w:t>
            </w:r>
            <w:r>
              <w:rPr>
                <w:rFonts w:hint="eastAsia"/>
                <w:lang w:val="zh-CN"/>
              </w:rPr>
              <w:t>层梁板</w:t>
            </w:r>
          </w:p>
        </w:tc>
        <w:tc>
          <w:tcPr>
            <w:tcW w:w="1800" w:type="dxa"/>
            <w:vAlign w:val="center"/>
          </w:tcPr>
          <w:p>
            <w:pPr>
              <w:pStyle w:val="29"/>
              <w:spacing w:before="60" w:after="60"/>
              <w:rPr>
                <w:lang w:val="zh-CN"/>
              </w:rPr>
            </w:pPr>
            <w:r>
              <w:t>7</w:t>
            </w:r>
            <w:r>
              <w:rPr>
                <w:rFonts w:hint="eastAsia"/>
                <w:lang w:val="zh-CN"/>
              </w:rPr>
              <w:t>天</w:t>
            </w:r>
          </w:p>
        </w:tc>
        <w:tc>
          <w:tcPr>
            <w:tcW w:w="2836" w:type="dxa"/>
            <w:vAlign w:val="center"/>
          </w:tcPr>
          <w:p>
            <w:pPr>
              <w:pStyle w:val="29"/>
              <w:spacing w:before="60" w:after="60"/>
            </w:pPr>
            <w:r>
              <w:rPr>
                <w:rFonts w:hint="eastAsia"/>
                <w:lang w:val="zh-CN"/>
              </w:rPr>
              <w:t>铝合金模板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1" w:type="dxa"/>
            <w:vAlign w:val="center"/>
          </w:tcPr>
          <w:p>
            <w:pPr>
              <w:pStyle w:val="29"/>
              <w:spacing w:before="60" w:after="60"/>
              <w:rPr>
                <w:lang w:val="zh-CN"/>
              </w:rPr>
            </w:pPr>
            <w:r>
              <w:rPr>
                <w:rFonts w:hint="eastAsia"/>
                <w:lang w:val="zh-CN"/>
              </w:rPr>
              <w:t>……</w:t>
            </w:r>
          </w:p>
        </w:tc>
        <w:tc>
          <w:tcPr>
            <w:tcW w:w="1800" w:type="dxa"/>
            <w:vAlign w:val="center"/>
          </w:tcPr>
          <w:p>
            <w:pPr>
              <w:pStyle w:val="29"/>
              <w:spacing w:before="60" w:after="60"/>
              <w:rPr>
                <w:lang w:val="zh-CN"/>
              </w:rPr>
            </w:pPr>
            <w:r>
              <w:t>7</w:t>
            </w:r>
            <w:r>
              <w:rPr>
                <w:rFonts w:hint="eastAsia"/>
                <w:lang w:val="zh-CN"/>
              </w:rPr>
              <w:t>天</w:t>
            </w:r>
          </w:p>
        </w:tc>
        <w:tc>
          <w:tcPr>
            <w:tcW w:w="2836" w:type="dxa"/>
            <w:vAlign w:val="center"/>
          </w:tcPr>
          <w:p>
            <w:pPr>
              <w:pStyle w:val="29"/>
              <w:spacing w:before="60" w:after="60"/>
              <w:rPr>
                <w:lang w:val="zh-CN"/>
              </w:rPr>
            </w:pPr>
            <w:r>
              <w:rPr>
                <w:rFonts w:hint="eastAsia"/>
                <w:lang w:val="zh-CN"/>
              </w:rPr>
              <w:t>铝合金模板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1" w:type="dxa"/>
            <w:vAlign w:val="center"/>
          </w:tcPr>
          <w:p>
            <w:pPr>
              <w:pStyle w:val="29"/>
              <w:spacing w:before="60" w:after="60"/>
              <w:rPr>
                <w:lang w:val="zh-CN"/>
              </w:rPr>
            </w:pPr>
            <w:r>
              <w:t>32</w:t>
            </w:r>
            <w:r>
              <w:rPr>
                <w:rFonts w:hint="eastAsia"/>
                <w:lang w:val="zh-CN"/>
              </w:rPr>
              <w:t>层墙柱</w:t>
            </w:r>
            <w:r>
              <w:t>-</w:t>
            </w:r>
            <w:r>
              <w:rPr>
                <w:rFonts w:hint="eastAsia"/>
              </w:rPr>
              <w:t>屋面</w:t>
            </w:r>
          </w:p>
        </w:tc>
        <w:tc>
          <w:tcPr>
            <w:tcW w:w="1800" w:type="dxa"/>
            <w:vAlign w:val="center"/>
          </w:tcPr>
          <w:p>
            <w:pPr>
              <w:pStyle w:val="29"/>
              <w:spacing w:before="60" w:after="60"/>
              <w:rPr>
                <w:lang w:val="zh-CN"/>
              </w:rPr>
            </w:pPr>
            <w:r>
              <w:t>7</w:t>
            </w:r>
            <w:r>
              <w:rPr>
                <w:rFonts w:hint="eastAsia"/>
                <w:lang w:val="zh-CN"/>
              </w:rPr>
              <w:t>天</w:t>
            </w:r>
          </w:p>
        </w:tc>
        <w:tc>
          <w:tcPr>
            <w:tcW w:w="2836" w:type="dxa"/>
            <w:vAlign w:val="center"/>
          </w:tcPr>
          <w:p>
            <w:pPr>
              <w:pStyle w:val="29"/>
              <w:spacing w:before="60" w:after="60"/>
            </w:pPr>
            <w:r>
              <w:rPr>
                <w:rFonts w:hint="eastAsia"/>
                <w:lang w:val="zh-CN"/>
              </w:rPr>
              <w:t>铝合金模板</w:t>
            </w:r>
          </w:p>
        </w:tc>
      </w:tr>
    </w:tbl>
    <w:p>
      <w:pPr>
        <w:ind w:firstLine="480"/>
      </w:pPr>
      <w:r>
        <w:rPr>
          <w:rFonts w:hint="eastAsia"/>
        </w:rPr>
        <w:t>说明：</w:t>
      </w:r>
    </w:p>
    <w:p>
      <w:pPr>
        <w:ind w:firstLine="480"/>
      </w:pPr>
      <w:r>
        <w:rPr>
          <w:rFonts w:hint="eastAsia"/>
        </w:rPr>
        <w:t>a、如遇到墙柱或楼面变化楼层时，需相应增加施工工期2天，大变化增加5天。</w:t>
      </w:r>
    </w:p>
    <w:p>
      <w:pPr>
        <w:ind w:firstLine="480"/>
      </w:pPr>
      <w:r>
        <w:rPr>
          <w:rFonts w:hint="eastAsia"/>
        </w:rPr>
        <w:t>b、其他因停电、雨季台风等需延误的工期不计算在内。</w:t>
      </w:r>
    </w:p>
    <w:p>
      <w:pPr>
        <w:ind w:firstLine="480"/>
      </w:pPr>
      <w:r>
        <w:rPr>
          <w:rFonts w:hint="eastAsia"/>
        </w:rPr>
        <w:t>施工进度计划严格按照总施工组织设计方案编排的施工进度计划施工，只能提前不能滞后。</w:t>
      </w:r>
    </w:p>
    <w:p>
      <w:pPr>
        <w:pStyle w:val="3"/>
        <w:spacing w:before="120" w:after="120"/>
      </w:pPr>
      <w:bookmarkStart w:id="44" w:name="_Toc121229960"/>
      <w:bookmarkStart w:id="45" w:name="_Toc129070551"/>
      <w:bookmarkStart w:id="46" w:name="_Toc121292609"/>
      <w:bookmarkStart w:id="47" w:name="_Toc121230349"/>
      <w:r>
        <w:rPr>
          <w:rFonts w:hint="eastAsia"/>
        </w:rPr>
        <w:t>材料与设备计划</w:t>
      </w:r>
      <w:bookmarkEnd w:id="44"/>
      <w:bookmarkEnd w:id="45"/>
      <w:bookmarkEnd w:id="46"/>
      <w:bookmarkEnd w:id="47"/>
    </w:p>
    <w:p>
      <w:pPr>
        <w:pStyle w:val="4"/>
        <w:spacing w:before="120" w:after="120"/>
      </w:pPr>
      <w:bookmarkStart w:id="48" w:name="_Toc129070552"/>
      <w:bookmarkStart w:id="49" w:name="_Toc121292610"/>
      <w:r>
        <w:t>材料计划</w:t>
      </w:r>
      <w:bookmarkEnd w:id="48"/>
      <w:bookmarkEnd w:id="49"/>
    </w:p>
    <w:p>
      <w:pPr>
        <w:ind w:firstLine="480"/>
      </w:pPr>
      <w:r>
        <w:rPr>
          <w:rFonts w:hint="eastAsia"/>
        </w:rPr>
        <w:t>本工程</w:t>
      </w:r>
      <w:r>
        <w:t>1</w:t>
      </w:r>
      <w:r>
        <w:rPr>
          <w:rFonts w:hint="eastAsia"/>
        </w:rPr>
        <w:t>栋主体结构配备</w:t>
      </w:r>
      <w:r>
        <w:t>1</w:t>
      </w:r>
      <w:r>
        <w:rPr>
          <w:rFonts w:hint="eastAsia"/>
        </w:rPr>
        <w:t>套完整铝模用于标准层，标准层整体支模，整体浇筑。</w:t>
      </w:r>
    </w:p>
    <w:p>
      <w:pPr>
        <w:pStyle w:val="9"/>
      </w:pPr>
      <w:r>
        <w:t xml:space="preserve">表 </w:t>
      </w:r>
      <w:r>
        <w:fldChar w:fldCharType="begin"/>
      </w:r>
      <w:r>
        <w:instrText xml:space="preserve"> STYLEREF 2 \s </w:instrText>
      </w:r>
      <w:r>
        <w:fldChar w:fldCharType="separate"/>
      </w:r>
      <w:r>
        <w:t>3.2</w:t>
      </w:r>
      <w:r>
        <w:fldChar w:fldCharType="end"/>
      </w:r>
      <w:r>
        <w:noBreakHyphen/>
      </w:r>
      <w:r>
        <w:fldChar w:fldCharType="begin"/>
      </w:r>
      <w:r>
        <w:instrText xml:space="preserve"> SEQ 表 \* ARABIC \s 2 </w:instrText>
      </w:r>
      <w:r>
        <w:fldChar w:fldCharType="separate"/>
      </w:r>
      <w:r>
        <w:t>1</w:t>
      </w:r>
      <w:r>
        <w:fldChar w:fldCharType="end"/>
      </w:r>
      <w:r>
        <w:t xml:space="preserve">  主要材料计划表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421"/>
        <w:gridCol w:w="3240"/>
        <w:gridCol w:w="1452"/>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40" w:hRule="atLeast"/>
          <w:tblHeader/>
          <w:jc w:val="center"/>
        </w:trPr>
        <w:tc>
          <w:tcPr>
            <w:tcW w:w="1421" w:type="dxa"/>
            <w:shd w:val="clear" w:color="auto" w:fill="DEEAF6"/>
            <w:vAlign w:val="center"/>
          </w:tcPr>
          <w:p>
            <w:pPr>
              <w:pStyle w:val="29"/>
              <w:spacing w:before="60" w:after="60"/>
            </w:pPr>
            <w:r>
              <w:t>序号</w:t>
            </w:r>
          </w:p>
        </w:tc>
        <w:tc>
          <w:tcPr>
            <w:tcW w:w="3240" w:type="dxa"/>
            <w:shd w:val="clear" w:color="auto" w:fill="DEEAF6"/>
            <w:vAlign w:val="center"/>
          </w:tcPr>
          <w:p>
            <w:pPr>
              <w:pStyle w:val="29"/>
              <w:spacing w:before="60" w:after="60"/>
            </w:pPr>
            <w:r>
              <w:t>材料名称</w:t>
            </w:r>
          </w:p>
        </w:tc>
        <w:tc>
          <w:tcPr>
            <w:tcW w:w="1452" w:type="dxa"/>
            <w:shd w:val="clear" w:color="auto" w:fill="DEEAF6"/>
            <w:vAlign w:val="center"/>
          </w:tcPr>
          <w:p>
            <w:pPr>
              <w:pStyle w:val="29"/>
              <w:spacing w:before="60" w:after="60"/>
            </w:pPr>
            <w:r>
              <w:t>单位</w:t>
            </w:r>
          </w:p>
        </w:tc>
        <w:tc>
          <w:tcPr>
            <w:tcW w:w="2182" w:type="dxa"/>
            <w:shd w:val="clear" w:color="auto" w:fill="DEEAF6"/>
            <w:vAlign w:val="center"/>
          </w:tcPr>
          <w:p>
            <w:pPr>
              <w:pStyle w:val="29"/>
              <w:spacing w:before="60" w:after="60"/>
            </w:pPr>
            <w: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1" w:type="dxa"/>
            <w:shd w:val="clear" w:color="auto" w:fill="E2EFD9"/>
            <w:vAlign w:val="center"/>
          </w:tcPr>
          <w:p>
            <w:pPr>
              <w:pStyle w:val="29"/>
              <w:spacing w:before="60" w:after="60"/>
            </w:pPr>
            <w:r>
              <w:t>1</w:t>
            </w:r>
          </w:p>
        </w:tc>
        <w:tc>
          <w:tcPr>
            <w:tcW w:w="3240" w:type="dxa"/>
            <w:shd w:val="clear" w:color="auto" w:fill="FFFFFF"/>
            <w:vAlign w:val="center"/>
          </w:tcPr>
          <w:p>
            <w:pPr>
              <w:pStyle w:val="29"/>
              <w:spacing w:before="60" w:after="60"/>
            </w:pPr>
            <w:r>
              <w:t>铝合金模板</w:t>
            </w:r>
          </w:p>
        </w:tc>
        <w:tc>
          <w:tcPr>
            <w:tcW w:w="1452" w:type="dxa"/>
            <w:shd w:val="clear" w:color="auto" w:fill="FFFFFF"/>
            <w:vAlign w:val="center"/>
          </w:tcPr>
          <w:p>
            <w:pPr>
              <w:pStyle w:val="29"/>
              <w:spacing w:before="60" w:after="60"/>
            </w:pPr>
            <w:r>
              <w:rPr>
                <w:rFonts w:hint="eastAsia"/>
              </w:rPr>
              <w:t>平方米</w:t>
            </w:r>
          </w:p>
        </w:tc>
        <w:tc>
          <w:tcPr>
            <w:tcW w:w="2182" w:type="dxa"/>
            <w:shd w:val="clear" w:color="auto" w:fill="FFFFFF"/>
            <w:vAlign w:val="center"/>
          </w:tcPr>
          <w:p>
            <w:pPr>
              <w:pStyle w:val="29"/>
              <w:spacing w:before="60" w:after="60"/>
            </w:pPr>
            <w:r>
              <w:t>2286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1" w:type="dxa"/>
            <w:shd w:val="clear" w:color="auto" w:fill="E2EFD9"/>
            <w:vAlign w:val="center"/>
          </w:tcPr>
          <w:p>
            <w:pPr>
              <w:pStyle w:val="29"/>
              <w:spacing w:before="60" w:after="60"/>
            </w:pPr>
            <w:r>
              <w:t>2</w:t>
            </w:r>
          </w:p>
        </w:tc>
        <w:tc>
          <w:tcPr>
            <w:tcW w:w="3240" w:type="dxa"/>
            <w:shd w:val="clear" w:color="auto" w:fill="FFFFFF"/>
            <w:vAlign w:val="center"/>
          </w:tcPr>
          <w:p>
            <w:pPr>
              <w:pStyle w:val="29"/>
              <w:spacing w:before="60" w:after="60"/>
            </w:pPr>
            <w:r>
              <w:rPr>
                <w:rFonts w:hint="eastAsia"/>
              </w:rPr>
              <w:t>盘扣式</w:t>
            </w:r>
            <w:r>
              <w:t>可调</w:t>
            </w:r>
            <w:r>
              <w:rPr>
                <w:rFonts w:hint="eastAsia"/>
              </w:rPr>
              <w:t>钢支撑</w:t>
            </w:r>
          </w:p>
        </w:tc>
        <w:tc>
          <w:tcPr>
            <w:tcW w:w="1452" w:type="dxa"/>
            <w:shd w:val="clear" w:color="auto" w:fill="FFFFFF"/>
            <w:vAlign w:val="center"/>
          </w:tcPr>
          <w:p>
            <w:pPr>
              <w:pStyle w:val="29"/>
              <w:spacing w:before="60" w:after="60"/>
            </w:pPr>
            <w:r>
              <w:t>根</w:t>
            </w:r>
          </w:p>
        </w:tc>
        <w:tc>
          <w:tcPr>
            <w:tcW w:w="2182" w:type="dxa"/>
            <w:shd w:val="clear" w:color="auto" w:fill="FFFFFF"/>
            <w:vAlign w:val="center"/>
          </w:tcPr>
          <w:p>
            <w:pPr>
              <w:pStyle w:val="29"/>
              <w:spacing w:before="60" w:after="60"/>
            </w:pPr>
            <w:r>
              <w:t>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1" w:type="dxa"/>
            <w:shd w:val="clear" w:color="auto" w:fill="E2EFD9"/>
            <w:vAlign w:val="center"/>
          </w:tcPr>
          <w:p>
            <w:pPr>
              <w:pStyle w:val="29"/>
              <w:spacing w:before="60" w:after="60"/>
            </w:pPr>
            <w:r>
              <w:t>3</w:t>
            </w:r>
          </w:p>
        </w:tc>
        <w:tc>
          <w:tcPr>
            <w:tcW w:w="3240" w:type="dxa"/>
            <w:shd w:val="clear" w:color="auto" w:fill="FFFFFF"/>
            <w:vAlign w:val="center"/>
          </w:tcPr>
          <w:p>
            <w:pPr>
              <w:pStyle w:val="29"/>
              <w:spacing w:before="60" w:after="60"/>
            </w:pPr>
            <w:r>
              <w:rPr>
                <w:rFonts w:hint="eastAsia"/>
              </w:rPr>
              <w:t>销钉销片</w:t>
            </w:r>
          </w:p>
        </w:tc>
        <w:tc>
          <w:tcPr>
            <w:tcW w:w="1452" w:type="dxa"/>
            <w:shd w:val="clear" w:color="auto" w:fill="FFFFFF"/>
            <w:vAlign w:val="center"/>
          </w:tcPr>
          <w:p>
            <w:pPr>
              <w:pStyle w:val="29"/>
              <w:spacing w:before="60" w:after="60"/>
            </w:pPr>
            <w:r>
              <w:rPr>
                <w:rFonts w:hint="eastAsia"/>
              </w:rPr>
              <w:t>套</w:t>
            </w:r>
          </w:p>
        </w:tc>
        <w:tc>
          <w:tcPr>
            <w:tcW w:w="2182" w:type="dxa"/>
            <w:shd w:val="clear" w:color="auto" w:fill="FFFFFF"/>
            <w:vAlign w:val="center"/>
          </w:tcPr>
          <w:p>
            <w:pPr>
              <w:pStyle w:val="29"/>
              <w:spacing w:before="60" w:after="60"/>
            </w:pPr>
            <w:r>
              <w:t>41620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1" w:type="dxa"/>
            <w:shd w:val="clear" w:color="auto" w:fill="E2EFD9"/>
            <w:vAlign w:val="center"/>
          </w:tcPr>
          <w:p>
            <w:pPr>
              <w:pStyle w:val="29"/>
              <w:spacing w:before="60" w:after="60"/>
            </w:pPr>
            <w:r>
              <w:t>4</w:t>
            </w:r>
          </w:p>
        </w:tc>
        <w:tc>
          <w:tcPr>
            <w:tcW w:w="3240" w:type="dxa"/>
            <w:shd w:val="clear" w:color="auto" w:fill="FFFFFF"/>
            <w:vAlign w:val="center"/>
          </w:tcPr>
          <w:p>
            <w:pPr>
              <w:pStyle w:val="29"/>
              <w:spacing w:before="60" w:after="60"/>
            </w:pPr>
            <w:r>
              <w:rPr>
                <w:rFonts w:hint="eastAsia"/>
              </w:rPr>
              <w:t>钢背楞</w:t>
            </w:r>
          </w:p>
        </w:tc>
        <w:tc>
          <w:tcPr>
            <w:tcW w:w="1452" w:type="dxa"/>
            <w:shd w:val="clear" w:color="auto" w:fill="FFFFFF"/>
            <w:vAlign w:val="center"/>
          </w:tcPr>
          <w:p>
            <w:pPr>
              <w:pStyle w:val="29"/>
              <w:spacing w:before="60" w:after="60"/>
            </w:pPr>
            <w:r>
              <w:rPr>
                <w:rFonts w:hint="eastAsia"/>
              </w:rPr>
              <w:t>米</w:t>
            </w:r>
          </w:p>
        </w:tc>
        <w:tc>
          <w:tcPr>
            <w:tcW w:w="2182" w:type="dxa"/>
            <w:shd w:val="clear" w:color="auto" w:fill="FFFFFF"/>
            <w:vAlign w:val="center"/>
          </w:tcPr>
          <w:p>
            <w:pPr>
              <w:pStyle w:val="29"/>
              <w:spacing w:before="60" w:after="60"/>
            </w:pPr>
            <w:r>
              <w:t>18421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1" w:type="dxa"/>
            <w:shd w:val="clear" w:color="auto" w:fill="E2EFD9"/>
            <w:vAlign w:val="center"/>
          </w:tcPr>
          <w:p>
            <w:pPr>
              <w:pStyle w:val="29"/>
              <w:spacing w:before="60" w:after="60"/>
            </w:pPr>
            <w:r>
              <w:rPr>
                <w:rFonts w:hint="eastAsia"/>
              </w:rPr>
              <w:t>5</w:t>
            </w:r>
          </w:p>
        </w:tc>
        <w:tc>
          <w:tcPr>
            <w:tcW w:w="3240" w:type="dxa"/>
            <w:shd w:val="clear" w:color="auto" w:fill="FFFFFF"/>
            <w:vAlign w:val="center"/>
          </w:tcPr>
          <w:p>
            <w:pPr>
              <w:pStyle w:val="29"/>
              <w:spacing w:before="60" w:after="60"/>
            </w:pPr>
            <w:r>
              <w:rPr>
                <w:rFonts w:hint="eastAsia"/>
              </w:rPr>
              <w:t>Tr18对拉</w:t>
            </w:r>
            <w:r>
              <w:t>螺杆</w:t>
            </w:r>
          </w:p>
        </w:tc>
        <w:tc>
          <w:tcPr>
            <w:tcW w:w="1452" w:type="dxa"/>
            <w:shd w:val="clear" w:color="auto" w:fill="FFFFFF"/>
            <w:vAlign w:val="center"/>
          </w:tcPr>
          <w:p>
            <w:pPr>
              <w:pStyle w:val="29"/>
              <w:spacing w:before="60" w:after="60"/>
            </w:pPr>
            <w:r>
              <w:t>根</w:t>
            </w:r>
          </w:p>
        </w:tc>
        <w:tc>
          <w:tcPr>
            <w:tcW w:w="2182" w:type="dxa"/>
            <w:shd w:val="clear" w:color="auto" w:fill="FFFFFF"/>
            <w:vAlign w:val="center"/>
          </w:tcPr>
          <w:p>
            <w:pPr>
              <w:pStyle w:val="29"/>
              <w:spacing w:before="60" w:after="60"/>
            </w:pPr>
            <w:r>
              <w:t>3360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1" w:type="dxa"/>
            <w:shd w:val="clear" w:color="auto" w:fill="E2EFD9"/>
            <w:vAlign w:val="center"/>
          </w:tcPr>
          <w:p>
            <w:pPr>
              <w:pStyle w:val="29"/>
              <w:spacing w:before="60" w:after="60"/>
            </w:pPr>
            <w:r>
              <w:t>6</w:t>
            </w:r>
          </w:p>
        </w:tc>
        <w:tc>
          <w:tcPr>
            <w:tcW w:w="3240" w:type="dxa"/>
            <w:shd w:val="clear" w:color="auto" w:fill="FFFFFF"/>
            <w:vAlign w:val="center"/>
          </w:tcPr>
          <w:p>
            <w:pPr>
              <w:pStyle w:val="29"/>
              <w:spacing w:before="60" w:after="60"/>
            </w:pPr>
            <w:r>
              <w:rPr>
                <w:rFonts w:hint="eastAsia"/>
              </w:rPr>
              <w:t>斜撑</w:t>
            </w:r>
          </w:p>
        </w:tc>
        <w:tc>
          <w:tcPr>
            <w:tcW w:w="1452" w:type="dxa"/>
            <w:shd w:val="clear" w:color="auto" w:fill="FFFFFF"/>
            <w:vAlign w:val="center"/>
          </w:tcPr>
          <w:p>
            <w:pPr>
              <w:pStyle w:val="29"/>
              <w:spacing w:before="60" w:after="60"/>
            </w:pPr>
            <w:r>
              <w:rPr>
                <w:rFonts w:hint="eastAsia"/>
              </w:rPr>
              <w:t>个</w:t>
            </w:r>
          </w:p>
        </w:tc>
        <w:tc>
          <w:tcPr>
            <w:tcW w:w="2182" w:type="dxa"/>
            <w:shd w:val="clear" w:color="auto" w:fill="FFFFFF"/>
            <w:vAlign w:val="center"/>
          </w:tcPr>
          <w:p>
            <w:pPr>
              <w:pStyle w:val="29"/>
              <w:spacing w:before="60" w:after="60"/>
            </w:pPr>
            <w:r>
              <w:t>184</w:t>
            </w:r>
          </w:p>
        </w:tc>
      </w:tr>
    </w:tbl>
    <w:p>
      <w:pPr>
        <w:ind w:firstLine="480"/>
      </w:pPr>
      <w:r>
        <w:rPr>
          <w:rFonts w:hint="eastAsia"/>
        </w:rPr>
        <w:t>说明：本工程采用一套模板主系统，三套立杆支撑，后期材料根据现场实际情况进行增减。</w:t>
      </w:r>
    </w:p>
    <w:p>
      <w:pPr>
        <w:pStyle w:val="4"/>
        <w:spacing w:before="120" w:after="120"/>
      </w:pPr>
      <w:bookmarkStart w:id="50" w:name="_Toc121292611"/>
      <w:bookmarkStart w:id="51" w:name="_Toc129070553"/>
      <w:r>
        <w:t>设备计划</w:t>
      </w:r>
      <w:bookmarkEnd w:id="50"/>
      <w:bookmarkEnd w:id="51"/>
    </w:p>
    <w:p>
      <w:pPr>
        <w:ind w:firstLine="480"/>
      </w:pPr>
      <w:r>
        <w:rPr>
          <w:rFonts w:hint="eastAsia"/>
        </w:rPr>
        <w:t>根据施工机具需要用量计划，做好机械的租购计划，并做好进场使用前的检验、保养工作，确保运转正常。</w:t>
      </w:r>
    </w:p>
    <w:p>
      <w:pPr>
        <w:ind w:firstLine="720" w:firstLineChars="300"/>
      </w:pPr>
      <w:r>
        <w:rPr>
          <w:rFonts w:hint="eastAsia"/>
        </w:rPr>
        <w:t>主要机具及工具准备详见下表</w:t>
      </w:r>
    </w:p>
    <w:p>
      <w:pPr>
        <w:pStyle w:val="3"/>
        <w:spacing w:before="120" w:after="120"/>
      </w:pPr>
      <w:bookmarkStart w:id="52" w:name="_Toc129070554"/>
      <w:bookmarkStart w:id="53" w:name="_Toc121229961"/>
      <w:bookmarkStart w:id="54" w:name="_Toc121230350"/>
      <w:bookmarkStart w:id="55" w:name="_Toc121292612"/>
      <w:r>
        <w:rPr>
          <w:rFonts w:hint="eastAsia"/>
        </w:rPr>
        <w:t>劳动力计划</w:t>
      </w:r>
      <w:bookmarkEnd w:id="52"/>
      <w:bookmarkEnd w:id="53"/>
      <w:bookmarkEnd w:id="54"/>
      <w:bookmarkEnd w:id="55"/>
    </w:p>
    <w:p>
      <w:pPr>
        <w:ind w:firstLine="480"/>
      </w:pPr>
      <w:r>
        <w:rPr>
          <w:rFonts w:hint="eastAsia"/>
        </w:rPr>
        <w:t>根据开工日期和劳动力需要量计划。组织工人进场，并安排好工人生活。水、电管线架设已完成。能够满足工程及工程管理、施工人员生活的用水、用电需要。</w:t>
      </w:r>
    </w:p>
    <w:p>
      <w:pPr>
        <w:pStyle w:val="2"/>
        <w:spacing w:before="120" w:after="120"/>
      </w:pPr>
      <w:bookmarkStart w:id="56" w:name="_Toc121230351"/>
      <w:bookmarkStart w:id="57" w:name="_Toc129070555"/>
      <w:bookmarkStart w:id="58" w:name="_Toc121229962"/>
      <w:bookmarkStart w:id="59" w:name="_Toc121292613"/>
      <w:r>
        <w:rPr>
          <w:rFonts w:hint="eastAsia"/>
        </w:rPr>
        <w:t>施工工艺技术</w:t>
      </w:r>
      <w:bookmarkEnd w:id="56"/>
      <w:bookmarkEnd w:id="57"/>
      <w:bookmarkEnd w:id="58"/>
      <w:bookmarkEnd w:id="59"/>
    </w:p>
    <w:p>
      <w:pPr>
        <w:pStyle w:val="3"/>
        <w:spacing w:before="120" w:after="120"/>
      </w:pPr>
      <w:bookmarkStart w:id="60" w:name="_Toc121292614"/>
      <w:bookmarkStart w:id="61" w:name="_Toc121230352"/>
      <w:bookmarkStart w:id="62" w:name="_Toc129070556"/>
      <w:bookmarkStart w:id="63" w:name="_Toc121229963"/>
      <w:r>
        <w:rPr>
          <w:rFonts w:hint="eastAsia"/>
        </w:rPr>
        <w:t>技术参数</w:t>
      </w:r>
      <w:bookmarkEnd w:id="60"/>
      <w:bookmarkEnd w:id="61"/>
      <w:bookmarkEnd w:id="62"/>
      <w:bookmarkEnd w:id="63"/>
    </w:p>
    <w:p>
      <w:pPr>
        <w:pStyle w:val="4"/>
        <w:spacing w:before="120" w:after="120"/>
      </w:pPr>
      <w:bookmarkStart w:id="64" w:name="_Toc121230353"/>
      <w:bookmarkStart w:id="65" w:name="_Toc129070557"/>
      <w:bookmarkStart w:id="66" w:name="_Toc121292615"/>
      <w:bookmarkStart w:id="67" w:name="_Toc121229964"/>
      <w:r>
        <w:rPr>
          <w:rFonts w:hint="eastAsia"/>
        </w:rPr>
        <w:t>材料选型</w:t>
      </w:r>
      <w:bookmarkEnd w:id="64"/>
      <w:bookmarkEnd w:id="65"/>
      <w:bookmarkEnd w:id="66"/>
      <w:bookmarkEnd w:id="67"/>
    </w:p>
    <w:p>
      <w:pPr>
        <w:ind w:firstLine="480"/>
      </w:pPr>
      <w:r>
        <w:rPr>
          <w:rFonts w:hint="eastAsia"/>
        </w:rPr>
        <w:t>根据工程结构特点和现场实际情况，对铝模施工层各部分模板体系设计选型：</w:t>
      </w:r>
    </w:p>
    <w:tbl>
      <w:tblPr>
        <w:tblStyle w:val="21"/>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268"/>
        <w:gridCol w:w="2132"/>
        <w:gridCol w:w="3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jc w:val="center"/>
        </w:trPr>
        <w:tc>
          <w:tcPr>
            <w:tcW w:w="704" w:type="dxa"/>
            <w:shd w:val="clear" w:color="auto" w:fill="BDD6EE" w:themeFill="accent5" w:themeFillTint="66"/>
            <w:vAlign w:val="bottom"/>
          </w:tcPr>
          <w:p>
            <w:pPr>
              <w:pStyle w:val="29"/>
              <w:spacing w:before="60" w:after="60"/>
            </w:pPr>
            <w:r>
              <w:rPr>
                <w:rFonts w:hint="eastAsia"/>
              </w:rPr>
              <w:t>序号</w:t>
            </w:r>
          </w:p>
        </w:tc>
        <w:tc>
          <w:tcPr>
            <w:tcW w:w="2268" w:type="dxa"/>
            <w:shd w:val="clear" w:color="auto" w:fill="BDD6EE" w:themeFill="accent5" w:themeFillTint="66"/>
            <w:vAlign w:val="bottom"/>
          </w:tcPr>
          <w:p>
            <w:pPr>
              <w:pStyle w:val="29"/>
              <w:spacing w:before="60" w:after="60"/>
            </w:pPr>
            <w:r>
              <w:rPr>
                <w:rFonts w:hint="eastAsia"/>
              </w:rPr>
              <w:t>施工部位</w:t>
            </w:r>
          </w:p>
        </w:tc>
        <w:tc>
          <w:tcPr>
            <w:tcW w:w="2132" w:type="dxa"/>
            <w:shd w:val="clear" w:color="auto" w:fill="BDD6EE" w:themeFill="accent5" w:themeFillTint="66"/>
            <w:vAlign w:val="bottom"/>
          </w:tcPr>
          <w:p>
            <w:pPr>
              <w:pStyle w:val="29"/>
              <w:spacing w:before="60" w:after="60"/>
            </w:pPr>
            <w:r>
              <w:rPr>
                <w:rFonts w:hint="eastAsia"/>
              </w:rPr>
              <w:t>选择模板品种</w:t>
            </w:r>
          </w:p>
        </w:tc>
        <w:tc>
          <w:tcPr>
            <w:tcW w:w="3538" w:type="dxa"/>
            <w:shd w:val="clear" w:color="auto" w:fill="BDD6EE" w:themeFill="accent5" w:themeFillTint="66"/>
            <w:vAlign w:val="bottom"/>
          </w:tcPr>
          <w:p>
            <w:pPr>
              <w:pStyle w:val="29"/>
              <w:spacing w:before="60" w:after="60"/>
            </w:pPr>
            <w:r>
              <w:rPr>
                <w:rFonts w:hint="eastAsia"/>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04" w:type="dxa"/>
            <w:shd w:val="clear" w:color="auto" w:fill="C5E0B3" w:themeFill="accent6" w:themeFillTint="66"/>
            <w:vAlign w:val="bottom"/>
          </w:tcPr>
          <w:p>
            <w:pPr>
              <w:pStyle w:val="29"/>
              <w:spacing w:before="60" w:after="60"/>
            </w:pPr>
            <w:r>
              <w:rPr>
                <w:rFonts w:hint="eastAsia"/>
              </w:rPr>
              <w:t>1</w:t>
            </w:r>
          </w:p>
        </w:tc>
        <w:tc>
          <w:tcPr>
            <w:tcW w:w="2268" w:type="dxa"/>
            <w:vAlign w:val="bottom"/>
          </w:tcPr>
          <w:p>
            <w:pPr>
              <w:pStyle w:val="29"/>
              <w:spacing w:before="60" w:after="60"/>
            </w:pPr>
            <w:r>
              <w:rPr>
                <w:rFonts w:hint="eastAsia"/>
              </w:rPr>
              <w:t>剪力墙模板</w:t>
            </w:r>
          </w:p>
        </w:tc>
        <w:tc>
          <w:tcPr>
            <w:tcW w:w="2132" w:type="dxa"/>
            <w:vAlign w:val="bottom"/>
          </w:tcPr>
          <w:p>
            <w:pPr>
              <w:pStyle w:val="29"/>
              <w:spacing w:before="60" w:after="60"/>
            </w:pPr>
            <w:r>
              <w:rPr>
                <w:rFonts w:hint="eastAsia"/>
              </w:rPr>
              <w:t>全铝合金模板</w:t>
            </w:r>
          </w:p>
        </w:tc>
        <w:tc>
          <w:tcPr>
            <w:tcW w:w="3538" w:type="dxa"/>
            <w:vAlign w:val="bottom"/>
          </w:tcPr>
          <w:p>
            <w:pPr>
              <w:pStyle w:val="29"/>
              <w:spacing w:before="60" w:after="60"/>
            </w:pPr>
            <w:r>
              <w:rPr>
                <w:rFonts w:hint="eastAsia"/>
              </w:rPr>
              <w:t>手工操作/机械吊装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04" w:type="dxa"/>
            <w:shd w:val="clear" w:color="auto" w:fill="C5E0B3" w:themeFill="accent6" w:themeFillTint="66"/>
            <w:vAlign w:val="bottom"/>
          </w:tcPr>
          <w:p>
            <w:pPr>
              <w:pStyle w:val="29"/>
              <w:spacing w:before="60" w:after="60"/>
            </w:pPr>
            <w:r>
              <w:rPr>
                <w:rFonts w:hint="eastAsia"/>
              </w:rPr>
              <w:t>2</w:t>
            </w:r>
          </w:p>
        </w:tc>
        <w:tc>
          <w:tcPr>
            <w:tcW w:w="2268" w:type="dxa"/>
            <w:vAlign w:val="bottom"/>
          </w:tcPr>
          <w:p>
            <w:pPr>
              <w:pStyle w:val="29"/>
              <w:spacing w:before="60" w:after="60"/>
            </w:pPr>
            <w:r>
              <w:rPr>
                <w:rFonts w:hint="eastAsia"/>
              </w:rPr>
              <w:t>梁模板</w:t>
            </w:r>
          </w:p>
        </w:tc>
        <w:tc>
          <w:tcPr>
            <w:tcW w:w="2132" w:type="dxa"/>
            <w:vAlign w:val="bottom"/>
          </w:tcPr>
          <w:p>
            <w:pPr>
              <w:pStyle w:val="29"/>
              <w:spacing w:before="60" w:after="60"/>
            </w:pPr>
            <w:r>
              <w:rPr>
                <w:rFonts w:hint="eastAsia"/>
              </w:rPr>
              <w:t>全铝合金模板</w:t>
            </w:r>
          </w:p>
        </w:tc>
        <w:tc>
          <w:tcPr>
            <w:tcW w:w="3538" w:type="dxa"/>
            <w:vAlign w:val="bottom"/>
          </w:tcPr>
          <w:p>
            <w:pPr>
              <w:pStyle w:val="29"/>
              <w:spacing w:before="60" w:after="60"/>
            </w:pPr>
            <w:r>
              <w:rPr>
                <w:rFonts w:hint="eastAsia"/>
              </w:rPr>
              <w:t>手工操作/机械吊装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04" w:type="dxa"/>
            <w:shd w:val="clear" w:color="auto" w:fill="C5E0B3" w:themeFill="accent6" w:themeFillTint="66"/>
            <w:vAlign w:val="bottom"/>
          </w:tcPr>
          <w:p>
            <w:pPr>
              <w:pStyle w:val="29"/>
              <w:spacing w:before="60" w:after="60"/>
            </w:pPr>
            <w:r>
              <w:rPr>
                <w:rFonts w:hint="eastAsia"/>
              </w:rPr>
              <w:t>3</w:t>
            </w:r>
          </w:p>
        </w:tc>
        <w:tc>
          <w:tcPr>
            <w:tcW w:w="2268" w:type="dxa"/>
            <w:vAlign w:val="bottom"/>
          </w:tcPr>
          <w:p>
            <w:pPr>
              <w:pStyle w:val="29"/>
              <w:spacing w:before="60" w:after="60"/>
            </w:pPr>
            <w:r>
              <w:rPr>
                <w:rFonts w:hint="eastAsia"/>
              </w:rPr>
              <w:t>楼面模板</w:t>
            </w:r>
          </w:p>
        </w:tc>
        <w:tc>
          <w:tcPr>
            <w:tcW w:w="2132" w:type="dxa"/>
            <w:vAlign w:val="bottom"/>
          </w:tcPr>
          <w:p>
            <w:pPr>
              <w:pStyle w:val="29"/>
              <w:spacing w:before="60" w:after="60"/>
            </w:pPr>
            <w:r>
              <w:rPr>
                <w:rFonts w:hint="eastAsia"/>
              </w:rPr>
              <w:t>全铝合金模板</w:t>
            </w:r>
          </w:p>
        </w:tc>
        <w:tc>
          <w:tcPr>
            <w:tcW w:w="3538" w:type="dxa"/>
            <w:vAlign w:val="bottom"/>
          </w:tcPr>
          <w:p>
            <w:pPr>
              <w:pStyle w:val="29"/>
              <w:spacing w:before="60" w:after="60"/>
            </w:pPr>
            <w:r>
              <w:rPr>
                <w:rFonts w:hint="eastAsia"/>
              </w:rPr>
              <w:t>手工操作/机械吊装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04" w:type="dxa"/>
            <w:shd w:val="clear" w:color="auto" w:fill="C5E0B3" w:themeFill="accent6" w:themeFillTint="66"/>
            <w:vAlign w:val="bottom"/>
          </w:tcPr>
          <w:p>
            <w:pPr>
              <w:pStyle w:val="29"/>
              <w:spacing w:before="60" w:after="60"/>
            </w:pPr>
            <w:r>
              <w:rPr>
                <w:rFonts w:hint="eastAsia"/>
              </w:rPr>
              <w:t>4</w:t>
            </w:r>
          </w:p>
        </w:tc>
        <w:tc>
          <w:tcPr>
            <w:tcW w:w="2268" w:type="dxa"/>
            <w:vAlign w:val="bottom"/>
          </w:tcPr>
          <w:p>
            <w:pPr>
              <w:pStyle w:val="29"/>
              <w:spacing w:before="60" w:after="60"/>
            </w:pPr>
            <w:r>
              <w:rPr>
                <w:rFonts w:hint="eastAsia"/>
              </w:rPr>
              <w:t>水平模板支撑系统</w:t>
            </w:r>
          </w:p>
        </w:tc>
        <w:tc>
          <w:tcPr>
            <w:tcW w:w="2132" w:type="dxa"/>
            <w:vAlign w:val="bottom"/>
          </w:tcPr>
          <w:p>
            <w:pPr>
              <w:pStyle w:val="29"/>
              <w:spacing w:before="60" w:after="60"/>
            </w:pPr>
            <w:r>
              <w:rPr>
                <w:rFonts w:hint="eastAsia"/>
              </w:rPr>
              <w:t>独立钢支撑</w:t>
            </w:r>
          </w:p>
        </w:tc>
        <w:tc>
          <w:tcPr>
            <w:tcW w:w="3538" w:type="dxa"/>
            <w:vAlign w:val="bottom"/>
          </w:tcPr>
          <w:p>
            <w:pPr>
              <w:pStyle w:val="29"/>
              <w:spacing w:before="60" w:after="60"/>
            </w:pPr>
            <w:r>
              <w:rPr>
                <w:rFonts w:hint="eastAsia"/>
              </w:rPr>
              <w:t>手工操作/机械吊装</w:t>
            </w:r>
          </w:p>
        </w:tc>
      </w:tr>
    </w:tbl>
    <w:p>
      <w:pPr>
        <w:pStyle w:val="4"/>
        <w:spacing w:before="120" w:after="120"/>
      </w:pPr>
      <w:bookmarkStart w:id="68" w:name="_Toc129070558"/>
      <w:bookmarkStart w:id="69" w:name="_Toc121229965"/>
      <w:bookmarkStart w:id="70" w:name="_Toc121292616"/>
      <w:bookmarkStart w:id="71" w:name="_Toc121230354"/>
      <w:r>
        <w:rPr>
          <w:rFonts w:hint="eastAsia"/>
        </w:rPr>
        <w:t>模架体系设计</w:t>
      </w:r>
      <w:bookmarkEnd w:id="68"/>
      <w:bookmarkEnd w:id="69"/>
      <w:bookmarkEnd w:id="70"/>
      <w:bookmarkEnd w:id="71"/>
    </w:p>
    <w:p>
      <w:pPr>
        <w:ind w:firstLine="480"/>
      </w:pPr>
      <w:r>
        <w:rPr>
          <w:rFonts w:hint="eastAsia"/>
        </w:rPr>
        <w:t>铝合金模板体系由模板系统、支撑系统、紧固系统、附件系统组成。</w:t>
      </w:r>
    </w:p>
    <w:p>
      <w:pPr>
        <w:ind w:firstLine="480"/>
      </w:pPr>
      <w:r>
        <w:rPr>
          <w:rFonts w:hint="eastAsia"/>
        </w:rPr>
        <w:t>铝模系统主要包括墙模板、梁模板、楼板模板、楼梯模板等组成。</w:t>
      </w:r>
    </w:p>
    <w:p>
      <w:pPr>
        <w:pStyle w:val="44"/>
        <w:spacing w:before="120" w:after="120"/>
      </w:pPr>
      <w:r>
        <w:rPr>
          <w:rFonts w:hint="eastAsia"/>
        </w:rPr>
        <w:t>剪力墙模板</w:t>
      </w:r>
    </w:p>
    <w:p>
      <w:pPr>
        <w:ind w:firstLine="480"/>
      </w:pPr>
      <w:r>
        <w:rPr>
          <w:rFonts w:hint="eastAsia"/>
        </w:rPr>
        <w:t>剪力墙标准模板规格400mm×2</w:t>
      </w:r>
      <w:r>
        <w:t>700mm</w:t>
      </w:r>
      <w:r>
        <w:rPr>
          <w:rFonts w:hint="eastAsia"/>
        </w:rPr>
        <w:t>；接高板长度1</w:t>
      </w:r>
      <w:r>
        <w:t>300</w:t>
      </w:r>
      <w:r>
        <w:rPr>
          <w:rFonts w:hint="eastAsia"/>
        </w:rPr>
        <w:t>mm，与底下模板同宽；承接标准模板规格3</w:t>
      </w:r>
      <w:r>
        <w:t>50</w:t>
      </w:r>
      <w:r>
        <w:rPr>
          <w:rFonts w:hint="eastAsia"/>
        </w:rPr>
        <w:t>mm×</w:t>
      </w:r>
      <w:r>
        <w:t>1200mm</w:t>
      </w:r>
      <w:r>
        <w:rPr>
          <w:rFonts w:hint="eastAsia"/>
        </w:rPr>
        <w:t>；背楞为30mm×70mm×2.5mm双方管背楞；对拉螺杆横向最大间距</w:t>
      </w:r>
      <w:r>
        <w:t>800</w:t>
      </w:r>
      <w:r>
        <w:rPr>
          <w:rFonts w:hint="eastAsia"/>
        </w:rPr>
        <w:t>毫米，纵向最大间距</w:t>
      </w:r>
      <w:r>
        <w:t>600</w:t>
      </w:r>
      <w:r>
        <w:rPr>
          <w:rFonts w:hint="eastAsia"/>
        </w:rPr>
        <w:t>毫米。</w:t>
      </w:r>
    </w:p>
    <w:p>
      <w:pPr>
        <w:pStyle w:val="44"/>
        <w:spacing w:before="120" w:after="120"/>
      </w:pPr>
      <w:r>
        <w:rPr>
          <w:rFonts w:hint="eastAsia"/>
        </w:rPr>
        <w:t>梁模板</w:t>
      </w:r>
    </w:p>
    <w:p>
      <w:pPr>
        <w:ind w:firstLine="480"/>
      </w:pPr>
      <w:r>
        <w:rPr>
          <w:rFonts w:hint="eastAsia"/>
        </w:rPr>
        <w:t>梁模板由梁底模板与梁侧模板组成，采用全铝合金，模板重量轻，拼接操作灵活方便，表面质量好，配用早拆支撑系统可提高模板的周转效率。</w:t>
      </w:r>
    </w:p>
    <w:p>
      <w:pPr>
        <w:ind w:firstLine="480"/>
      </w:pPr>
      <w:r>
        <w:rPr>
          <w:rFonts w:hint="eastAsia"/>
        </w:rPr>
        <w:t>梁模板尺寸按实际结构尺寸配置，梁底模板设置梁底早拆模板。梁底采用独立可调钢支撑，梁宽≤350mm，梁底采用单立杆支撑，350＜梁宽≤700，梁底采用双立杆支撑。梁底纵向支撑间距如下表。</w:t>
      </w:r>
    </w:p>
    <w:p>
      <w:pPr>
        <w:pStyle w:val="9"/>
        <w:keepNext/>
      </w:pPr>
      <w:r>
        <w:t xml:space="preserve">表格 </w:t>
      </w:r>
      <w:r>
        <w:fldChar w:fldCharType="begin"/>
      </w:r>
      <w:r>
        <w:instrText xml:space="preserve"> STYLEREF 2 \s </w:instrText>
      </w:r>
      <w:r>
        <w:fldChar w:fldCharType="separate"/>
      </w:r>
      <w:r>
        <w:t>4.1</w:t>
      </w:r>
      <w:r>
        <w:fldChar w:fldCharType="end"/>
      </w:r>
      <w:r>
        <w:noBreakHyphen/>
      </w:r>
      <w:r>
        <w:fldChar w:fldCharType="begin"/>
      </w:r>
      <w:r>
        <w:instrText xml:space="preserve"> SEQ 表格 \* ARABIC \s 2 </w:instrText>
      </w:r>
      <w:r>
        <w:fldChar w:fldCharType="separate"/>
      </w:r>
      <w:r>
        <w:t>1</w:t>
      </w:r>
      <w:r>
        <w:fldChar w:fldCharType="end"/>
      </w:r>
      <w:r>
        <w:t xml:space="preserve"> </w:t>
      </w:r>
      <w:r>
        <w:rPr>
          <w:rFonts w:hint="eastAsia"/>
        </w:rPr>
        <w:t>梁支撑间距对应表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9"/>
        <w:gridCol w:w="4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blHeader/>
          <w:jc w:val="center"/>
        </w:trPr>
        <w:tc>
          <w:tcPr>
            <w:tcW w:w="2681" w:type="pct"/>
            <w:shd w:val="clear" w:color="auto" w:fill="BDD6EE" w:themeFill="accent5" w:themeFillTint="66"/>
            <w:vAlign w:val="center"/>
          </w:tcPr>
          <w:p>
            <w:pPr>
              <w:pStyle w:val="29"/>
              <w:spacing w:before="60" w:after="60"/>
              <w:rPr>
                <w:rFonts w:hint="default" w:ascii="等线" w:hAnsi="等线" w:eastAsia="等线" w:cs="等线"/>
                <w:kern w:val="2"/>
              </w:rPr>
            </w:pPr>
            <w:r>
              <w:rPr>
                <w:rFonts w:hint="eastAsia" w:ascii="等线" w:hAnsi="等线" w:eastAsia="等线" w:cs="等线"/>
                <w:kern w:val="2"/>
              </w:rPr>
              <w:t>梁规格b×h（mm）</w:t>
            </w:r>
          </w:p>
        </w:tc>
        <w:tc>
          <w:tcPr>
            <w:tcW w:w="2319" w:type="pct"/>
            <w:shd w:val="clear" w:color="auto" w:fill="BDD6EE" w:themeFill="accent5" w:themeFillTint="66"/>
            <w:vAlign w:val="center"/>
          </w:tcPr>
          <w:p>
            <w:pPr>
              <w:pStyle w:val="29"/>
              <w:spacing w:before="60" w:after="60"/>
              <w:rPr>
                <w:rFonts w:hint="default" w:ascii="等线" w:hAnsi="等线" w:eastAsia="等线" w:cs="等线"/>
                <w:kern w:val="2"/>
              </w:rPr>
            </w:pPr>
            <w:r>
              <w:rPr>
                <w:rFonts w:hint="eastAsia" w:ascii="等线" w:hAnsi="等线" w:eastAsia="等线" w:cs="等线"/>
                <w:kern w:val="2"/>
              </w:rPr>
              <w:t>支撑间距（mm）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2681" w:type="pct"/>
            <w:vAlign w:val="center"/>
          </w:tcPr>
          <w:p>
            <w:pPr>
              <w:pStyle w:val="29"/>
              <w:spacing w:before="60" w:after="60"/>
              <w:rPr>
                <w:rFonts w:hint="default" w:ascii="等线" w:hAnsi="等线" w:eastAsia="等线" w:cs="等线"/>
                <w:kern w:val="2"/>
              </w:rPr>
            </w:pPr>
            <w:r>
              <w:rPr>
                <w:rFonts w:hint="eastAsia" w:ascii="等线" w:hAnsi="等线" w:eastAsia="等线" w:cs="等线"/>
                <w:kern w:val="2"/>
              </w:rPr>
              <w:t>200</w:t>
            </w:r>
            <w:r>
              <w:rPr>
                <w:rFonts w:hint="default" w:ascii="等线" w:hAnsi="等线" w:eastAsia="等线" w:cs="等线"/>
                <w:kern w:val="2"/>
              </w:rPr>
              <w:t>X700</w:t>
            </w:r>
            <w:r>
              <w:rPr>
                <w:rFonts w:hint="eastAsia" w:ascii="等线" w:hAnsi="等线" w:eastAsia="等线" w:cs="等线"/>
                <w:kern w:val="2"/>
              </w:rPr>
              <w:t>，</w:t>
            </w:r>
            <w:r>
              <w:rPr>
                <w:rFonts w:hint="default" w:ascii="等线" w:hAnsi="等线" w:eastAsia="等线" w:cs="等线"/>
                <w:kern w:val="2"/>
              </w:rPr>
              <w:t>200X800</w:t>
            </w:r>
            <w:r>
              <w:rPr>
                <w:rFonts w:hint="eastAsia" w:ascii="等线" w:hAnsi="等线" w:eastAsia="等线" w:cs="等线"/>
                <w:kern w:val="2"/>
              </w:rPr>
              <w:t>，200</w:t>
            </w:r>
            <w:r>
              <w:rPr>
                <w:rFonts w:hint="default" w:ascii="等线" w:hAnsi="等线" w:eastAsia="等线" w:cs="等线"/>
                <w:kern w:val="2"/>
              </w:rPr>
              <w:t>X900</w:t>
            </w:r>
            <w:r>
              <w:rPr>
                <w:rFonts w:hint="eastAsia" w:ascii="等线" w:hAnsi="等线" w:eastAsia="等线" w:cs="等线"/>
                <w:kern w:val="2"/>
              </w:rPr>
              <w:t>，300</w:t>
            </w:r>
            <w:r>
              <w:rPr>
                <w:rFonts w:hint="default" w:ascii="等线" w:hAnsi="等线" w:eastAsia="等线" w:cs="等线"/>
                <w:kern w:val="2"/>
              </w:rPr>
              <w:t>X400</w:t>
            </w:r>
            <w:r>
              <w:rPr>
                <w:rFonts w:hint="eastAsia" w:ascii="等线" w:hAnsi="等线" w:eastAsia="等线" w:cs="等线"/>
                <w:kern w:val="2"/>
              </w:rPr>
              <w:t>，300</w:t>
            </w:r>
            <w:r>
              <w:rPr>
                <w:rFonts w:hint="default" w:ascii="等线" w:hAnsi="等线" w:eastAsia="等线" w:cs="等线"/>
                <w:kern w:val="2"/>
              </w:rPr>
              <w:t>X700</w:t>
            </w:r>
            <w:r>
              <w:rPr>
                <w:rFonts w:hint="eastAsia" w:ascii="等线" w:hAnsi="等线" w:eastAsia="等线" w:cs="等线"/>
                <w:kern w:val="2"/>
              </w:rPr>
              <w:t>，300</w:t>
            </w:r>
            <w:r>
              <w:rPr>
                <w:rFonts w:hint="default" w:ascii="等线" w:hAnsi="等线" w:eastAsia="等线" w:cs="等线"/>
                <w:kern w:val="2"/>
              </w:rPr>
              <w:t>X900</w:t>
            </w:r>
          </w:p>
        </w:tc>
        <w:tc>
          <w:tcPr>
            <w:tcW w:w="2319" w:type="pct"/>
            <w:vAlign w:val="center"/>
          </w:tcPr>
          <w:p>
            <w:pPr>
              <w:pStyle w:val="29"/>
              <w:spacing w:before="60" w:after="60"/>
              <w:rPr>
                <w:rFonts w:hint="default" w:ascii="等线" w:hAnsi="等线" w:eastAsia="等线" w:cs="等线"/>
                <w:kern w:val="2"/>
              </w:rPr>
            </w:pPr>
            <w:r>
              <w:rPr>
                <w:rFonts w:hint="eastAsia" w:ascii="等线" w:hAnsi="等线" w:eastAsia="等线" w:cs="等线"/>
                <w:kern w:val="2"/>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2681" w:type="pct"/>
            <w:vAlign w:val="center"/>
          </w:tcPr>
          <w:p>
            <w:pPr>
              <w:pStyle w:val="29"/>
              <w:spacing w:before="60" w:after="60"/>
              <w:rPr>
                <w:rFonts w:hint="default" w:ascii="等线" w:hAnsi="等线" w:eastAsia="等线" w:cs="等线"/>
                <w:kern w:val="2"/>
              </w:rPr>
            </w:pPr>
            <w:r>
              <w:rPr>
                <w:rFonts w:hint="eastAsia" w:ascii="等线" w:hAnsi="等线" w:eastAsia="等线" w:cs="等线"/>
                <w:kern w:val="2"/>
              </w:rPr>
              <w:t>400</w:t>
            </w:r>
            <w:r>
              <w:rPr>
                <w:rFonts w:hint="default" w:ascii="等线" w:hAnsi="等线" w:eastAsia="等线" w:cs="等线"/>
                <w:kern w:val="2"/>
              </w:rPr>
              <w:t>X600</w:t>
            </w:r>
            <w:r>
              <w:rPr>
                <w:rFonts w:hint="eastAsia" w:ascii="等线" w:hAnsi="等线" w:eastAsia="等线" w:cs="等线"/>
                <w:kern w:val="2"/>
              </w:rPr>
              <w:t>，400</w:t>
            </w:r>
            <w:r>
              <w:rPr>
                <w:rFonts w:hint="default" w:ascii="等线" w:hAnsi="等线" w:eastAsia="等线" w:cs="等线"/>
                <w:kern w:val="2"/>
              </w:rPr>
              <w:t>X700</w:t>
            </w:r>
            <w:r>
              <w:rPr>
                <w:rFonts w:hint="eastAsia" w:ascii="等线" w:hAnsi="等线" w:eastAsia="等线" w:cs="等线"/>
                <w:kern w:val="2"/>
              </w:rPr>
              <w:t>，400</w:t>
            </w:r>
            <w:r>
              <w:rPr>
                <w:rFonts w:hint="default" w:ascii="等线" w:hAnsi="等线" w:eastAsia="等线" w:cs="等线"/>
                <w:kern w:val="2"/>
              </w:rPr>
              <w:t>X800</w:t>
            </w:r>
            <w:r>
              <w:rPr>
                <w:rFonts w:hint="eastAsia" w:ascii="等线" w:hAnsi="等线" w:eastAsia="等线" w:cs="等线"/>
                <w:kern w:val="2"/>
              </w:rPr>
              <w:t>，500</w:t>
            </w:r>
            <w:r>
              <w:rPr>
                <w:rFonts w:hint="default" w:ascii="等线" w:hAnsi="等线" w:eastAsia="等线" w:cs="等线"/>
                <w:kern w:val="2"/>
              </w:rPr>
              <w:t>X800</w:t>
            </w:r>
            <w:r>
              <w:rPr>
                <w:rFonts w:hint="eastAsia" w:ascii="等线" w:hAnsi="等线" w:eastAsia="等线" w:cs="等线"/>
                <w:kern w:val="2"/>
              </w:rPr>
              <w:t>，500</w:t>
            </w:r>
            <w:r>
              <w:rPr>
                <w:rFonts w:hint="default" w:ascii="等线" w:hAnsi="等线" w:eastAsia="等线" w:cs="等线"/>
                <w:kern w:val="2"/>
              </w:rPr>
              <w:t>X900</w:t>
            </w:r>
            <w:r>
              <w:rPr>
                <w:rFonts w:hint="eastAsia" w:ascii="等线" w:hAnsi="等线" w:eastAsia="等线" w:cs="等线"/>
                <w:kern w:val="2"/>
              </w:rPr>
              <w:t>，500</w:t>
            </w:r>
            <w:r>
              <w:rPr>
                <w:rFonts w:hint="default" w:ascii="等线" w:hAnsi="等线" w:eastAsia="等线" w:cs="等线"/>
                <w:kern w:val="2"/>
              </w:rPr>
              <w:t>X</w:t>
            </w:r>
            <w:r>
              <w:rPr>
                <w:rFonts w:hint="eastAsia" w:ascii="等线" w:hAnsi="等线" w:eastAsia="等线" w:cs="等线"/>
                <w:kern w:val="2"/>
              </w:rPr>
              <w:t>1000，600</w:t>
            </w:r>
            <w:r>
              <w:rPr>
                <w:rFonts w:hint="default" w:ascii="等线" w:hAnsi="等线" w:eastAsia="等线" w:cs="等线"/>
                <w:kern w:val="2"/>
              </w:rPr>
              <w:t>X950</w:t>
            </w:r>
            <w:r>
              <w:rPr>
                <w:rFonts w:hint="eastAsia" w:ascii="等线" w:hAnsi="等线" w:eastAsia="等线" w:cs="等线"/>
                <w:kern w:val="2"/>
              </w:rPr>
              <w:t>，600</w:t>
            </w:r>
            <w:r>
              <w:rPr>
                <w:rFonts w:hint="default" w:ascii="等线" w:hAnsi="等线" w:eastAsia="等线" w:cs="等线"/>
                <w:kern w:val="2"/>
              </w:rPr>
              <w:t>X1000</w:t>
            </w:r>
            <w:r>
              <w:rPr>
                <w:rFonts w:hint="eastAsia" w:ascii="等线" w:hAnsi="等线" w:eastAsia="等线" w:cs="等线"/>
                <w:kern w:val="2"/>
              </w:rPr>
              <w:t>，700</w:t>
            </w:r>
            <w:r>
              <w:rPr>
                <w:rFonts w:hint="default" w:ascii="等线" w:hAnsi="等线" w:eastAsia="等线" w:cs="等线"/>
                <w:kern w:val="2"/>
              </w:rPr>
              <w:t>X900</w:t>
            </w:r>
            <w:r>
              <w:rPr>
                <w:rFonts w:hint="eastAsia" w:ascii="等线" w:hAnsi="等线" w:eastAsia="等线" w:cs="等线"/>
                <w:kern w:val="2"/>
              </w:rPr>
              <w:t>，700</w:t>
            </w:r>
            <w:r>
              <w:rPr>
                <w:rFonts w:hint="default" w:ascii="等线" w:hAnsi="等线" w:eastAsia="等线" w:cs="等线"/>
                <w:kern w:val="2"/>
              </w:rPr>
              <w:t>X1000</w:t>
            </w:r>
          </w:p>
        </w:tc>
        <w:tc>
          <w:tcPr>
            <w:tcW w:w="2319" w:type="pct"/>
            <w:vAlign w:val="center"/>
          </w:tcPr>
          <w:p>
            <w:pPr>
              <w:pStyle w:val="29"/>
              <w:spacing w:before="60" w:after="60"/>
              <w:rPr>
                <w:rFonts w:hint="default" w:ascii="等线" w:hAnsi="等线" w:eastAsia="等线" w:cs="等线"/>
                <w:kern w:val="2"/>
              </w:rPr>
            </w:pPr>
            <w:r>
              <w:rPr>
                <w:rFonts w:hint="eastAsia" w:ascii="等线" w:hAnsi="等线" w:eastAsia="等线" w:cs="等线"/>
                <w:kern w:val="2"/>
              </w:rPr>
              <w:t>3</w:t>
            </w:r>
            <w:r>
              <w:rPr>
                <w:rFonts w:hint="default" w:ascii="等线" w:hAnsi="等线" w:eastAsia="等线" w:cs="等线"/>
                <w:kern w:val="2"/>
              </w:rPr>
              <w:t>50X1000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2681" w:type="pct"/>
            <w:vAlign w:val="center"/>
          </w:tcPr>
          <w:p>
            <w:pPr>
              <w:pStyle w:val="29"/>
              <w:spacing w:before="60" w:after="60"/>
              <w:rPr>
                <w:rFonts w:hint="default" w:ascii="等线" w:hAnsi="等线" w:eastAsia="等线" w:cs="等线"/>
                <w:kern w:val="2"/>
              </w:rPr>
            </w:pPr>
            <w:r>
              <w:rPr>
                <w:rFonts w:hint="eastAsia" w:ascii="等线" w:hAnsi="等线" w:eastAsia="等线" w:cs="等线"/>
                <w:kern w:val="2"/>
              </w:rPr>
              <w:t>200</w:t>
            </w:r>
            <w:r>
              <w:rPr>
                <w:rFonts w:hint="default" w:ascii="等线" w:hAnsi="等线" w:eastAsia="等线" w:cs="等线"/>
                <w:kern w:val="2"/>
              </w:rPr>
              <w:t>X400</w:t>
            </w:r>
            <w:r>
              <w:rPr>
                <w:rFonts w:hint="eastAsia" w:ascii="等线" w:hAnsi="等线" w:eastAsia="等线" w:cs="等线"/>
                <w:kern w:val="2"/>
              </w:rPr>
              <w:t>，</w:t>
            </w:r>
            <w:r>
              <w:rPr>
                <w:rFonts w:hint="default" w:ascii="等线" w:hAnsi="等线" w:eastAsia="等线" w:cs="等线"/>
                <w:kern w:val="2"/>
              </w:rPr>
              <w:t>200X500</w:t>
            </w:r>
            <w:r>
              <w:rPr>
                <w:rFonts w:hint="eastAsia" w:ascii="等线" w:hAnsi="等线" w:eastAsia="等线" w:cs="等线"/>
                <w:kern w:val="2"/>
              </w:rPr>
              <w:t>，200</w:t>
            </w:r>
            <w:r>
              <w:rPr>
                <w:rFonts w:hint="default" w:ascii="等线" w:hAnsi="等线" w:eastAsia="等线" w:cs="等线"/>
                <w:kern w:val="2"/>
              </w:rPr>
              <w:t>X600</w:t>
            </w:r>
          </w:p>
        </w:tc>
        <w:tc>
          <w:tcPr>
            <w:tcW w:w="2319" w:type="pct"/>
            <w:vAlign w:val="center"/>
          </w:tcPr>
          <w:p>
            <w:pPr>
              <w:pStyle w:val="29"/>
              <w:spacing w:before="60" w:after="60"/>
              <w:rPr>
                <w:rFonts w:hint="default" w:ascii="等线" w:hAnsi="等线" w:eastAsia="等线" w:cs="等线"/>
                <w:kern w:val="2"/>
              </w:rPr>
            </w:pPr>
            <w:r>
              <w:rPr>
                <w:rFonts w:hint="eastAsia" w:ascii="等线" w:hAnsi="等线" w:eastAsia="等线" w:cs="等线"/>
                <w:kern w:val="2"/>
              </w:rPr>
              <w:t>1300</w:t>
            </w:r>
          </w:p>
        </w:tc>
      </w:tr>
    </w:tbl>
    <w:p>
      <w:pPr>
        <w:ind w:firstLine="480"/>
      </w:pPr>
    </w:p>
    <w:p>
      <w:pPr>
        <w:pStyle w:val="44"/>
        <w:spacing w:before="120" w:after="120"/>
      </w:pPr>
      <w:r>
        <w:rPr>
          <w:rFonts w:hint="eastAsia"/>
        </w:rPr>
        <w:t>楼面模板</w:t>
      </w:r>
    </w:p>
    <w:p>
      <w:pPr>
        <w:ind w:firstLine="480"/>
      </w:pPr>
      <w:r>
        <w:rPr>
          <w:rFonts w:hint="eastAsia"/>
        </w:rPr>
        <w:t>楼面模板主板规格5</w:t>
      </w:r>
      <w:r>
        <w:t>00</w:t>
      </w:r>
      <w:r>
        <w:rPr>
          <w:rFonts w:hint="eastAsia"/>
        </w:rPr>
        <w:t>mm×1</w:t>
      </w:r>
      <w:r>
        <w:t>200mm</w:t>
      </w:r>
      <w:r>
        <w:rPr>
          <w:rFonts w:hint="eastAsia"/>
        </w:rPr>
        <w:t>；楼面早拆头规格1</w:t>
      </w:r>
      <w:r>
        <w:t>00</w:t>
      </w:r>
      <w:r>
        <w:rPr>
          <w:rFonts w:hint="eastAsia"/>
        </w:rPr>
        <w:t>mm×</w:t>
      </w:r>
      <w:r>
        <w:t>200mm</w:t>
      </w:r>
      <w:r>
        <w:rPr>
          <w:rFonts w:hint="eastAsia"/>
        </w:rPr>
        <w:t>；楼面支撑间距≤1300mm×1300mm；楼面支撑距墙、梁边最大距离900mm。标准间距1300mm，1000</w:t>
      </w:r>
      <w:r>
        <w:t>mm</w:t>
      </w:r>
      <w:r>
        <w:rPr>
          <w:rFonts w:hint="eastAsia"/>
        </w:rPr>
        <w:t>采用双向三道通长水平横杆与钢支撑采用承插型盘扣式节点连接固定，其他间距支撑采用钢管与</w:t>
      </w:r>
      <w:r>
        <w:t>配套扣件搭接连接</w:t>
      </w:r>
      <w:r>
        <w:rPr>
          <w:rFonts w:hint="eastAsia"/>
        </w:rPr>
        <w:t>，最大垂直步距</w:t>
      </w:r>
      <w:r>
        <w:t>1.5m，底部水平杆离地高度不得大于350mm。</w:t>
      </w:r>
      <w:r>
        <w:rPr>
          <w:rFonts w:hint="eastAsia"/>
        </w:rPr>
        <w:t>整个铝模可调钢支撑连接成一个整体支模体系。</w:t>
      </w:r>
    </w:p>
    <w:p>
      <w:pPr>
        <w:pStyle w:val="17"/>
      </w:pPr>
      <w:bookmarkStart w:id="72" w:name="_Toc129070559"/>
      <w:r>
        <w:rPr>
          <w:rFonts w:hint="eastAsia"/>
        </w:rPr>
        <w:t>楼梯支撑系统加固</w:t>
      </w:r>
      <w:bookmarkEnd w:id="72"/>
    </w:p>
    <w:p>
      <w:pPr>
        <w:ind w:firstLine="480"/>
      </w:pPr>
      <w:r>
        <w:rPr>
          <w:rFonts w:hint="eastAsia"/>
        </w:rPr>
        <w:t>楼梯支撑体系采用钢管与及配套扣件连接加固，形成一个整体支模加固体系，加强抵抗水平荷载。</w:t>
      </w:r>
    </w:p>
    <w:p>
      <w:pPr>
        <w:ind w:firstLine="480"/>
      </w:pPr>
    </w:p>
    <w:p>
      <w:pPr>
        <w:pStyle w:val="3"/>
        <w:spacing w:before="120" w:after="120"/>
      </w:pPr>
      <w:bookmarkStart w:id="73" w:name="_Toc129070560"/>
      <w:bookmarkStart w:id="74" w:name="_Toc121230355"/>
      <w:bookmarkStart w:id="75" w:name="_Toc121292617"/>
      <w:bookmarkStart w:id="76" w:name="_Toc121229966"/>
      <w:r>
        <w:rPr>
          <w:rFonts w:hint="eastAsia"/>
        </w:rPr>
        <w:t>工艺流程</w:t>
      </w:r>
      <w:bookmarkEnd w:id="73"/>
      <w:bookmarkEnd w:id="74"/>
      <w:bookmarkEnd w:id="75"/>
      <w:bookmarkEnd w:id="76"/>
    </w:p>
    <w:p>
      <w:pPr>
        <w:pStyle w:val="9"/>
      </w:pPr>
      <w:r>
        <w:drawing>
          <wp:inline distT="0" distB="0" distL="0" distR="0">
            <wp:extent cx="3995420" cy="5069205"/>
            <wp:effectExtent l="0" t="0" r="5080" b="0"/>
            <wp:docPr id="42" name="图形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形 42"/>
                    <pic:cNvPicPr>
                      <a:picLocks noChangeAspect="1"/>
                    </pic:cNvPicPr>
                  </pic:nvPicPr>
                  <pic:blipFill>
                    <a:blip r:embed="rId10">
                      <a:extLst>
                        <a:ext uri="{96DAC541-7B7A-43D3-8B79-37D633B846F1}">
                          <asvg:svgBlip xmlns:asvg="http://schemas.microsoft.com/office/drawing/2016/SVG/main" r:embed="rId11"/>
                        </a:ext>
                      </a:extLst>
                    </a:blip>
                    <a:srcRect l="22387" t="18808" r="39670" b="13355"/>
                    <a:stretch>
                      <a:fillRect/>
                    </a:stretch>
                  </pic:blipFill>
                  <pic:spPr>
                    <a:xfrm>
                      <a:off x="0" y="0"/>
                      <a:ext cx="4021616" cy="5102299"/>
                    </a:xfrm>
                    <a:prstGeom prst="rect">
                      <a:avLst/>
                    </a:prstGeom>
                  </pic:spPr>
                </pic:pic>
              </a:graphicData>
            </a:graphic>
          </wp:inline>
        </w:drawing>
      </w:r>
      <w:bookmarkStart w:id="77" w:name="_Toc121230356"/>
      <w:bookmarkStart w:id="78" w:name="_Toc121229967"/>
    </w:p>
    <w:p>
      <w:pPr>
        <w:pStyle w:val="9"/>
      </w:pPr>
      <w:r>
        <w:t xml:space="preserve">图 </w:t>
      </w:r>
      <w:r>
        <w:fldChar w:fldCharType="begin"/>
      </w:r>
      <w:r>
        <w:instrText xml:space="preserve"> STYLEREF 2 \s </w:instrText>
      </w:r>
      <w:r>
        <w:fldChar w:fldCharType="separate"/>
      </w:r>
      <w:r>
        <w:t>4.2</w:t>
      </w:r>
      <w:r>
        <w:fldChar w:fldCharType="end"/>
      </w:r>
      <w:r>
        <w:noBreakHyphen/>
      </w:r>
      <w:r>
        <w:fldChar w:fldCharType="begin"/>
      </w:r>
      <w:r>
        <w:instrText xml:space="preserve"> SEQ 图 \* ARABIC \s 2 </w:instrText>
      </w:r>
      <w:r>
        <w:fldChar w:fldCharType="separate"/>
      </w:r>
      <w:r>
        <w:t>1</w:t>
      </w:r>
      <w:r>
        <w:fldChar w:fldCharType="end"/>
      </w:r>
      <w:r>
        <w:t xml:space="preserve">  </w:t>
      </w:r>
      <w:r>
        <w:rPr>
          <w:rFonts w:hint="eastAsia"/>
        </w:rPr>
        <w:t>铝模施工流程图</w:t>
      </w:r>
    </w:p>
    <w:p>
      <w:pPr>
        <w:pStyle w:val="3"/>
        <w:spacing w:before="120" w:after="120"/>
      </w:pPr>
      <w:bookmarkStart w:id="79" w:name="_Toc129070561"/>
      <w:bookmarkStart w:id="80" w:name="_Toc121292618"/>
      <w:r>
        <w:rPr>
          <w:rFonts w:hint="eastAsia"/>
        </w:rPr>
        <w:t>施工方法及操作流程</w:t>
      </w:r>
      <w:bookmarkEnd w:id="77"/>
      <w:bookmarkEnd w:id="78"/>
      <w:bookmarkEnd w:id="79"/>
      <w:bookmarkEnd w:id="80"/>
    </w:p>
    <w:p>
      <w:pPr>
        <w:pStyle w:val="4"/>
        <w:spacing w:before="120" w:after="120"/>
      </w:pPr>
      <w:bookmarkStart w:id="81" w:name="_Toc129070562"/>
      <w:r>
        <w:rPr>
          <w:rFonts w:hint="eastAsia"/>
        </w:rPr>
        <w:t>施工前准备</w:t>
      </w:r>
      <w:bookmarkEnd w:id="81"/>
    </w:p>
    <w:p>
      <w:pPr>
        <w:ind w:firstLine="480"/>
      </w:pPr>
      <w:r>
        <w:rPr>
          <w:rFonts w:hint="eastAsia"/>
        </w:rPr>
        <w:t>在施工前完成图纸会审、编制专项施工方案、复核轴线标高等技术工作，并组织施工人员认真学习施工图纸、施工方案和施工规范等技术文件，做好三级安全技术交底工作，减少和避免施工误差。</w:t>
      </w:r>
    </w:p>
    <w:p>
      <w:pPr>
        <w:pStyle w:val="4"/>
        <w:spacing w:before="120" w:after="120"/>
      </w:pPr>
      <w:bookmarkStart w:id="82" w:name="_Toc121230359"/>
      <w:bookmarkStart w:id="83" w:name="_Toc121292621"/>
      <w:bookmarkStart w:id="84" w:name="_Toc129070563"/>
      <w:bookmarkStart w:id="85" w:name="_Toc121229970"/>
      <w:r>
        <w:rPr>
          <w:rFonts w:hint="eastAsia"/>
        </w:rPr>
        <w:t>铝合金模板安装</w:t>
      </w:r>
      <w:bookmarkEnd w:id="82"/>
      <w:bookmarkEnd w:id="83"/>
      <w:bookmarkEnd w:id="84"/>
      <w:bookmarkEnd w:id="85"/>
    </w:p>
    <w:p>
      <w:pPr>
        <w:pStyle w:val="44"/>
        <w:spacing w:before="120" w:after="120"/>
      </w:pPr>
      <w:r>
        <w:rPr>
          <w:rFonts w:hint="eastAsia"/>
        </w:rPr>
        <w:t xml:space="preserve"> 墙柱模板安装</w:t>
      </w:r>
    </w:p>
    <w:p>
      <w:pPr>
        <w:ind w:firstLine="480"/>
      </w:pPr>
      <w:r>
        <w:rPr>
          <w:rFonts w:hint="eastAsia"/>
        </w:rPr>
        <w:t>工艺流程:</w:t>
      </w:r>
    </w:p>
    <w:p>
      <w:pPr>
        <w:ind w:firstLine="480"/>
        <w:rPr>
          <w:bdr w:val="single" w:color="auto" w:sz="4" w:space="0"/>
        </w:rPr>
      </w:pPr>
      <w:r>
        <w:rPr>
          <w:rFonts w:hint="eastAsia"/>
          <w:bdr w:val="single" w:color="auto" w:sz="4" w:space="0"/>
        </w:rPr>
        <w:t>标高找平</w:t>
      </w:r>
      <w:r>
        <w:rPr>
          <w:rFonts w:hint="eastAsia"/>
        </w:rPr>
        <w:t>→</w:t>
      </w:r>
      <w:r>
        <w:rPr>
          <w:rFonts w:hint="eastAsia"/>
          <w:bdr w:val="single" w:color="auto" w:sz="4" w:space="0"/>
        </w:rPr>
        <w:t>焊接定位钢筋</w:t>
      </w:r>
      <w:r>
        <w:rPr>
          <w:rFonts w:hint="eastAsia"/>
        </w:rPr>
        <w:t>→</w:t>
      </w:r>
      <w:r>
        <w:rPr>
          <w:rFonts w:hint="eastAsia"/>
          <w:bdr w:val="single" w:color="auto" w:sz="4" w:space="0"/>
        </w:rPr>
        <w:t>涂刷脱模剂</w:t>
      </w:r>
      <w:r>
        <w:rPr>
          <w:rFonts w:hint="eastAsia"/>
        </w:rPr>
        <w:t>→</w:t>
      </w:r>
      <w:r>
        <w:rPr>
          <w:rFonts w:hint="eastAsia"/>
          <w:bdr w:val="single" w:color="auto" w:sz="4" w:space="0"/>
        </w:rPr>
        <w:t>铝模板安装</w:t>
      </w:r>
      <w:r>
        <w:rPr>
          <w:rFonts w:hint="eastAsia"/>
        </w:rPr>
        <w:t>→</w:t>
      </w:r>
      <w:r>
        <w:rPr>
          <w:rFonts w:hint="eastAsia"/>
          <w:bdr w:val="single" w:color="auto" w:sz="4" w:space="0"/>
        </w:rPr>
        <w:t>背楞安装</w:t>
      </w:r>
    </w:p>
    <w:p>
      <w:pPr>
        <w:ind w:firstLine="480"/>
      </w:pPr>
      <w:r>
        <w:rPr>
          <w:rFonts w:hint="eastAsia"/>
        </w:rPr>
        <w:t>安装墙柱铝模前，根据标高控制点检查墙柱位置楼板标高是否符合要求，高出的凿除，低的垫上木板，墙柱周围标高控制在－5/+0mm范围内。</w:t>
      </w:r>
    </w:p>
    <w:p>
      <w:pPr>
        <w:ind w:firstLine="480"/>
      </w:pPr>
      <w:r>
        <w:rPr>
          <w:rFonts w:hint="eastAsia"/>
        </w:rPr>
        <w:t>在墙柱根部的纵筋上焊接好定位钢筋，防止柱铝模在加固时跑位；在墙柱内设置好同墙柱厚的水泥内撑条或钢筋内撑条，保证铝模在加固后墙柱的截面尺寸。</w:t>
      </w:r>
    </w:p>
    <w:p>
      <w:pPr>
        <w:pStyle w:val="44"/>
        <w:spacing w:before="120" w:after="120"/>
      </w:pPr>
      <w:r>
        <w:rPr>
          <w:rFonts w:hint="eastAsia"/>
        </w:rPr>
        <w:t xml:space="preserve"> 梁模板安装</w:t>
      </w:r>
    </w:p>
    <w:p>
      <w:pPr>
        <w:ind w:firstLine="480"/>
      </w:pPr>
      <w:r>
        <w:rPr>
          <w:rFonts w:hint="eastAsia"/>
        </w:rPr>
        <w:t xml:space="preserve">工艺流程: </w:t>
      </w:r>
    </w:p>
    <w:p>
      <w:pPr>
        <w:ind w:firstLine="480"/>
        <w:rPr>
          <w:bdr w:val="single" w:color="auto" w:sz="4" w:space="0"/>
        </w:rPr>
      </w:pPr>
      <w:r>
        <w:rPr>
          <w:rFonts w:hint="eastAsia"/>
          <w:bdr w:val="single" w:color="auto" w:sz="4" w:space="0"/>
        </w:rPr>
        <w:t>梁底模板安装</w:t>
      </w:r>
      <w:r>
        <w:rPr>
          <w:rFonts w:hint="eastAsia"/>
        </w:rPr>
        <w:t>→</w:t>
      </w:r>
      <w:r>
        <w:rPr>
          <w:rFonts w:hint="eastAsia"/>
          <w:bdr w:val="single" w:color="auto" w:sz="4" w:space="0"/>
        </w:rPr>
        <w:t>梁侧模板安装</w:t>
      </w:r>
      <w:r>
        <w:rPr>
          <w:rFonts w:hint="eastAsia"/>
        </w:rPr>
        <w:t>→</w:t>
      </w:r>
      <w:r>
        <w:rPr>
          <w:rFonts w:hint="eastAsia"/>
          <w:bdr w:val="single" w:color="auto" w:sz="4" w:space="0"/>
        </w:rPr>
        <w:t>单支顶加固</w:t>
      </w:r>
      <w:r>
        <w:rPr>
          <w:rFonts w:hint="eastAsia"/>
        </w:rPr>
        <w:t>→</w:t>
      </w:r>
      <w:r>
        <w:rPr>
          <w:rFonts w:hint="eastAsia"/>
          <w:bdr w:val="single" w:color="auto" w:sz="4" w:space="0"/>
        </w:rPr>
        <w:t>涂刷脱模剂</w:t>
      </w:r>
    </w:p>
    <w:p>
      <w:pPr>
        <w:ind w:firstLine="480"/>
      </w:pPr>
      <w:r>
        <w:rPr>
          <w:rFonts w:hint="eastAsia"/>
        </w:rPr>
        <w:t>两侧墙体模板拼装以及初步加固完成后，可进行梁模板的拼装。梁模板的主要由梁底模板，梁侧模板以及早拆头组成。拼装梁模板时可先在板面上将梁底模板和早拆头拼装成型，并用销钉销片进行加固，然后整体拼装至墙模板上；然后对梁侧模板进行拼装。</w:t>
      </w:r>
    </w:p>
    <w:p>
      <w:pPr>
        <w:pStyle w:val="44"/>
        <w:spacing w:before="120" w:after="120"/>
      </w:pPr>
      <w:r>
        <w:rPr>
          <w:rFonts w:hint="eastAsia"/>
        </w:rPr>
        <w:t xml:space="preserve"> 楼面模板安装</w:t>
      </w:r>
    </w:p>
    <w:p>
      <w:pPr>
        <w:ind w:firstLine="480"/>
      </w:pPr>
      <w:r>
        <w:rPr>
          <w:rFonts w:hint="eastAsia"/>
        </w:rPr>
        <w:t xml:space="preserve">工艺流程: </w:t>
      </w:r>
    </w:p>
    <w:p>
      <w:pPr>
        <w:ind w:firstLine="480"/>
        <w:rPr>
          <w:bdr w:val="single" w:color="auto" w:sz="4" w:space="0"/>
        </w:rPr>
      </w:pPr>
      <w:r>
        <w:rPr>
          <w:rFonts w:hint="eastAsia"/>
          <w:bdr w:val="single" w:color="auto" w:sz="4" w:space="0"/>
        </w:rPr>
        <w:t>楼面阴角安装</w:t>
      </w:r>
      <w:r>
        <w:rPr>
          <w:rFonts w:hint="eastAsia"/>
        </w:rPr>
        <w:t>→</w:t>
      </w:r>
      <w:r>
        <w:rPr>
          <w:rFonts w:hint="eastAsia"/>
          <w:bdr w:val="single" w:color="auto" w:sz="4" w:space="0"/>
        </w:rPr>
        <w:t>铝梁安装</w:t>
      </w:r>
      <w:r>
        <w:rPr>
          <w:rFonts w:hint="eastAsia"/>
        </w:rPr>
        <w:t>→</w:t>
      </w:r>
      <w:r>
        <w:rPr>
          <w:rFonts w:hint="eastAsia"/>
          <w:bdr w:val="single" w:color="auto" w:sz="4" w:space="0"/>
        </w:rPr>
        <w:t>楼面板安装</w:t>
      </w:r>
      <w:r>
        <w:rPr>
          <w:rFonts w:hint="eastAsia"/>
        </w:rPr>
        <w:t>→</w:t>
      </w:r>
      <w:r>
        <w:rPr>
          <w:rFonts w:hint="eastAsia"/>
          <w:bdr w:val="single" w:color="auto" w:sz="4" w:space="0"/>
        </w:rPr>
        <w:t>单支顶加固</w:t>
      </w:r>
      <w:r>
        <w:rPr>
          <w:rFonts w:hint="eastAsia"/>
        </w:rPr>
        <w:t>→</w:t>
      </w:r>
      <w:r>
        <w:rPr>
          <w:rFonts w:hint="eastAsia"/>
          <w:bdr w:val="single" w:color="auto" w:sz="4" w:space="0"/>
        </w:rPr>
        <w:t>涂刷脱模剂</w:t>
      </w:r>
    </w:p>
    <w:p>
      <w:pPr>
        <w:ind w:firstLine="480"/>
      </w:pPr>
      <w:r>
        <w:rPr>
          <w:rFonts w:hint="eastAsia"/>
        </w:rPr>
        <w:t>墙柱模板及梁模板安装完成后，可以开始楼面模板安装。先安装楼面阴角，按拼装图从角部开始依次安装楼面阴角模板。</w:t>
      </w:r>
    </w:p>
    <w:p>
      <w:pPr>
        <w:ind w:firstLine="480"/>
      </w:pPr>
      <w:r>
        <w:rPr>
          <w:rFonts w:hint="eastAsia"/>
        </w:rPr>
        <w:t>安装完墙顶、梁顶阴角后，安装楼面铝梁及早拆头，铝梁和早拆头可先在板面上拼装成型，并用长销钉销片和铝梁快拆锁条进行加固，然后整体拼装到楼面阴角上，并及时用立杆对早拆头进行支撑。</w:t>
      </w:r>
    </w:p>
    <w:p>
      <w:pPr>
        <w:pStyle w:val="4"/>
        <w:spacing w:before="120" w:after="120"/>
      </w:pPr>
      <w:bookmarkStart w:id="86" w:name="_Toc129070564"/>
      <w:bookmarkStart w:id="87" w:name="_Toc121229971"/>
      <w:bookmarkStart w:id="88" w:name="_Toc121230360"/>
      <w:bookmarkStart w:id="89" w:name="_Toc121292622"/>
      <w:r>
        <w:rPr>
          <w:rFonts w:hint="eastAsia"/>
        </w:rPr>
        <w:t>铝合金模板拆除</w:t>
      </w:r>
      <w:bookmarkEnd w:id="86"/>
      <w:bookmarkEnd w:id="87"/>
      <w:bookmarkEnd w:id="88"/>
      <w:bookmarkEnd w:id="89"/>
    </w:p>
    <w:p>
      <w:pPr>
        <w:pStyle w:val="5"/>
        <w:spacing w:before="120" w:after="120"/>
      </w:pPr>
      <w:r>
        <w:rPr>
          <w:rFonts w:hint="eastAsia"/>
        </w:rPr>
        <w:t>模板拆除条件</w:t>
      </w:r>
    </w:p>
    <w:p>
      <w:pPr>
        <w:ind w:firstLine="480"/>
      </w:pPr>
      <w:r>
        <w:rPr>
          <w:rFonts w:hint="eastAsia"/>
        </w:rPr>
        <w:t>《混凝土工程施工质量验收规范》GB 50204-2015中关于底模拆除时的混凝土强度必须符合下表要求：</w:t>
      </w:r>
    </w:p>
    <w:tbl>
      <w:tblPr>
        <w:tblStyle w:val="21"/>
        <w:tblW w:w="8504"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6" w:type="dxa"/>
          <w:bottom w:w="0" w:type="dxa"/>
          <w:right w:w="106" w:type="dxa"/>
        </w:tblCellMar>
      </w:tblPr>
      <w:tblGrid>
        <w:gridCol w:w="687"/>
        <w:gridCol w:w="1218"/>
        <w:gridCol w:w="1621"/>
        <w:gridCol w:w="4978"/>
      </w:tblGrid>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6" w:type="dxa"/>
            <w:bottom w:w="0" w:type="dxa"/>
            <w:right w:w="106" w:type="dxa"/>
          </w:tblCellMar>
        </w:tblPrEx>
        <w:trPr>
          <w:cantSplit/>
          <w:trHeight w:val="397" w:hRule="atLeast"/>
          <w:tblHeader/>
          <w:jc w:val="center"/>
        </w:trPr>
        <w:tc>
          <w:tcPr>
            <w:tcW w:w="687" w:type="dxa"/>
            <w:tcBorders>
              <w:top w:val="single" w:color="auto" w:sz="4" w:space="0"/>
              <w:left w:val="single" w:color="auto" w:sz="4" w:space="0"/>
              <w:bottom w:val="single" w:color="auto" w:sz="4" w:space="0"/>
              <w:right w:val="single" w:color="auto" w:sz="4" w:space="0"/>
            </w:tcBorders>
            <w:shd w:val="clear" w:color="auto" w:fill="DEEAF6" w:themeFill="accent5" w:themeFillTint="33"/>
            <w:vAlign w:val="center"/>
          </w:tcPr>
          <w:p>
            <w:pPr>
              <w:pStyle w:val="29"/>
              <w:spacing w:before="60" w:after="60"/>
            </w:pPr>
            <w:r>
              <w:rPr>
                <w:rFonts w:hint="eastAsia"/>
              </w:rPr>
              <w:t>序号</w:t>
            </w:r>
          </w:p>
        </w:tc>
        <w:tc>
          <w:tcPr>
            <w:tcW w:w="1218" w:type="dxa"/>
            <w:tcBorders>
              <w:top w:val="single" w:color="auto" w:sz="4" w:space="0"/>
              <w:left w:val="single" w:color="auto" w:sz="4" w:space="0"/>
              <w:bottom w:val="single" w:color="auto" w:sz="4" w:space="0"/>
              <w:right w:val="single" w:color="auto" w:sz="4" w:space="0"/>
            </w:tcBorders>
            <w:shd w:val="clear" w:color="auto" w:fill="DEEAF6" w:themeFill="accent5" w:themeFillTint="33"/>
            <w:vAlign w:val="center"/>
          </w:tcPr>
          <w:p>
            <w:pPr>
              <w:pStyle w:val="29"/>
              <w:spacing w:before="60" w:after="60"/>
            </w:pPr>
            <w:r>
              <w:rPr>
                <w:rFonts w:hint="eastAsia"/>
              </w:rPr>
              <w:t>构件类型</w:t>
            </w:r>
          </w:p>
        </w:tc>
        <w:tc>
          <w:tcPr>
            <w:tcW w:w="1621" w:type="dxa"/>
            <w:tcBorders>
              <w:top w:val="single" w:color="auto" w:sz="4" w:space="0"/>
              <w:left w:val="single" w:color="auto" w:sz="4" w:space="0"/>
              <w:bottom w:val="single" w:color="auto" w:sz="4" w:space="0"/>
              <w:right w:val="single" w:color="auto" w:sz="4" w:space="0"/>
            </w:tcBorders>
            <w:shd w:val="clear" w:color="auto" w:fill="DEEAF6" w:themeFill="accent5" w:themeFillTint="33"/>
            <w:vAlign w:val="center"/>
          </w:tcPr>
          <w:p>
            <w:pPr>
              <w:pStyle w:val="29"/>
              <w:spacing w:before="60" w:after="60"/>
            </w:pPr>
            <w:r>
              <w:rPr>
                <w:rFonts w:hint="eastAsia"/>
              </w:rPr>
              <w:t>构件跨度（m）</w:t>
            </w:r>
          </w:p>
        </w:tc>
        <w:tc>
          <w:tcPr>
            <w:tcW w:w="4978" w:type="dxa"/>
            <w:tcBorders>
              <w:top w:val="single" w:color="auto" w:sz="4" w:space="0"/>
              <w:left w:val="single" w:color="auto" w:sz="4" w:space="0"/>
              <w:bottom w:val="single" w:color="auto" w:sz="4" w:space="0"/>
              <w:right w:val="single" w:color="auto" w:sz="4" w:space="0"/>
            </w:tcBorders>
            <w:shd w:val="clear" w:color="auto" w:fill="DEEAF6" w:themeFill="accent5" w:themeFillTint="33"/>
            <w:vAlign w:val="center"/>
          </w:tcPr>
          <w:p>
            <w:pPr>
              <w:pStyle w:val="29"/>
              <w:spacing w:before="60" w:after="60"/>
            </w:pPr>
            <w:r>
              <w:rPr>
                <w:rFonts w:hint="eastAsia"/>
              </w:rPr>
              <w:t>达到设计的混凝土立方体抗压强度标准值的百分率（%）</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6" w:type="dxa"/>
            <w:bottom w:w="0" w:type="dxa"/>
            <w:right w:w="106" w:type="dxa"/>
          </w:tblCellMar>
        </w:tblPrEx>
        <w:trPr>
          <w:cantSplit/>
          <w:trHeight w:val="397" w:hRule="atLeast"/>
          <w:jc w:val="center"/>
        </w:trPr>
        <w:tc>
          <w:tcPr>
            <w:tcW w:w="687" w:type="dxa"/>
            <w:vMerge w:val="restar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pPr>
              <w:pStyle w:val="29"/>
              <w:spacing w:before="60" w:after="60"/>
            </w:pPr>
            <w:r>
              <w:rPr>
                <w:rFonts w:hint="eastAsia"/>
              </w:rPr>
              <w:t>1</w:t>
            </w:r>
          </w:p>
        </w:tc>
        <w:tc>
          <w:tcPr>
            <w:tcW w:w="1218" w:type="dxa"/>
            <w:vMerge w:val="restart"/>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板</w:t>
            </w:r>
          </w:p>
        </w:tc>
        <w:tc>
          <w:tcPr>
            <w:tcW w:w="1621"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≤2</w:t>
            </w:r>
          </w:p>
        </w:tc>
        <w:tc>
          <w:tcPr>
            <w:tcW w:w="4978"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≥50</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6" w:type="dxa"/>
            <w:bottom w:w="0" w:type="dxa"/>
            <w:right w:w="106" w:type="dxa"/>
          </w:tblCellMar>
        </w:tblPrEx>
        <w:trPr>
          <w:cantSplit/>
          <w:trHeight w:val="397" w:hRule="atLeast"/>
          <w:jc w:val="center"/>
        </w:trPr>
        <w:tc>
          <w:tcPr>
            <w:tcW w:w="687" w:type="dxa"/>
            <w:vMerge w:val="continue"/>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pPr>
              <w:pStyle w:val="29"/>
              <w:spacing w:before="60" w:after="60"/>
            </w:pPr>
          </w:p>
        </w:tc>
        <w:tc>
          <w:tcPr>
            <w:tcW w:w="1218" w:type="dxa"/>
            <w:vMerge w:val="continue"/>
            <w:tcBorders>
              <w:top w:val="single" w:color="auto" w:sz="4" w:space="0"/>
              <w:left w:val="single" w:color="auto" w:sz="4" w:space="0"/>
              <w:bottom w:val="single" w:color="auto" w:sz="4" w:space="0"/>
              <w:right w:val="single" w:color="auto" w:sz="4" w:space="0"/>
            </w:tcBorders>
            <w:vAlign w:val="center"/>
          </w:tcPr>
          <w:p>
            <w:pPr>
              <w:pStyle w:val="29"/>
              <w:spacing w:before="60" w:after="60"/>
            </w:pPr>
          </w:p>
        </w:tc>
        <w:tc>
          <w:tcPr>
            <w:tcW w:w="1621"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＞2,≤8</w:t>
            </w:r>
          </w:p>
        </w:tc>
        <w:tc>
          <w:tcPr>
            <w:tcW w:w="4978"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≥75</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6" w:type="dxa"/>
            <w:bottom w:w="0" w:type="dxa"/>
            <w:right w:w="106" w:type="dxa"/>
          </w:tblCellMar>
        </w:tblPrEx>
        <w:trPr>
          <w:cantSplit/>
          <w:trHeight w:val="397" w:hRule="atLeast"/>
          <w:jc w:val="center"/>
        </w:trPr>
        <w:tc>
          <w:tcPr>
            <w:tcW w:w="687" w:type="dxa"/>
            <w:vMerge w:val="continue"/>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pPr>
              <w:pStyle w:val="29"/>
              <w:spacing w:before="60" w:after="60"/>
            </w:pPr>
          </w:p>
        </w:tc>
        <w:tc>
          <w:tcPr>
            <w:tcW w:w="1218" w:type="dxa"/>
            <w:vMerge w:val="continue"/>
            <w:tcBorders>
              <w:top w:val="single" w:color="auto" w:sz="4" w:space="0"/>
              <w:left w:val="single" w:color="auto" w:sz="4" w:space="0"/>
              <w:bottom w:val="single" w:color="auto" w:sz="4" w:space="0"/>
              <w:right w:val="single" w:color="auto" w:sz="4" w:space="0"/>
            </w:tcBorders>
            <w:vAlign w:val="center"/>
          </w:tcPr>
          <w:p>
            <w:pPr>
              <w:pStyle w:val="29"/>
              <w:spacing w:before="60" w:after="60"/>
            </w:pPr>
          </w:p>
        </w:tc>
        <w:tc>
          <w:tcPr>
            <w:tcW w:w="1621"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＞8</w:t>
            </w:r>
          </w:p>
        </w:tc>
        <w:tc>
          <w:tcPr>
            <w:tcW w:w="4978"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≥100</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6" w:type="dxa"/>
            <w:bottom w:w="0" w:type="dxa"/>
            <w:right w:w="106" w:type="dxa"/>
          </w:tblCellMar>
        </w:tblPrEx>
        <w:trPr>
          <w:cantSplit/>
          <w:trHeight w:val="397" w:hRule="atLeast"/>
          <w:jc w:val="center"/>
        </w:trPr>
        <w:tc>
          <w:tcPr>
            <w:tcW w:w="687" w:type="dxa"/>
            <w:vMerge w:val="restart"/>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pPr>
              <w:pStyle w:val="29"/>
              <w:spacing w:before="60" w:after="60"/>
            </w:pPr>
            <w:r>
              <w:rPr>
                <w:rFonts w:hint="eastAsia"/>
              </w:rPr>
              <w:t>2</w:t>
            </w:r>
          </w:p>
        </w:tc>
        <w:tc>
          <w:tcPr>
            <w:tcW w:w="1218" w:type="dxa"/>
            <w:vMerge w:val="restart"/>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梁、拱、壳</w:t>
            </w:r>
          </w:p>
        </w:tc>
        <w:tc>
          <w:tcPr>
            <w:tcW w:w="1621"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≤8</w:t>
            </w:r>
          </w:p>
        </w:tc>
        <w:tc>
          <w:tcPr>
            <w:tcW w:w="4978"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≥75</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6" w:type="dxa"/>
            <w:bottom w:w="0" w:type="dxa"/>
            <w:right w:w="106" w:type="dxa"/>
          </w:tblCellMar>
        </w:tblPrEx>
        <w:trPr>
          <w:cantSplit/>
          <w:trHeight w:val="397" w:hRule="atLeast"/>
          <w:jc w:val="center"/>
        </w:trPr>
        <w:tc>
          <w:tcPr>
            <w:tcW w:w="687" w:type="dxa"/>
            <w:vMerge w:val="continue"/>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pPr>
              <w:pStyle w:val="29"/>
              <w:spacing w:before="60" w:after="60"/>
            </w:pPr>
          </w:p>
        </w:tc>
        <w:tc>
          <w:tcPr>
            <w:tcW w:w="1218" w:type="dxa"/>
            <w:vMerge w:val="continue"/>
            <w:tcBorders>
              <w:top w:val="single" w:color="auto" w:sz="4" w:space="0"/>
              <w:left w:val="single" w:color="auto" w:sz="4" w:space="0"/>
              <w:bottom w:val="single" w:color="auto" w:sz="4" w:space="0"/>
              <w:right w:val="single" w:color="auto" w:sz="4" w:space="0"/>
            </w:tcBorders>
            <w:vAlign w:val="center"/>
          </w:tcPr>
          <w:p>
            <w:pPr>
              <w:pStyle w:val="29"/>
              <w:spacing w:before="60" w:after="60"/>
            </w:pPr>
          </w:p>
        </w:tc>
        <w:tc>
          <w:tcPr>
            <w:tcW w:w="1621"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＞8</w:t>
            </w:r>
          </w:p>
        </w:tc>
        <w:tc>
          <w:tcPr>
            <w:tcW w:w="4978"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≥100</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6" w:type="dxa"/>
            <w:bottom w:w="0" w:type="dxa"/>
            <w:right w:w="106" w:type="dxa"/>
          </w:tblCellMar>
        </w:tblPrEx>
        <w:trPr>
          <w:cantSplit/>
          <w:trHeight w:val="397"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E2EFD9" w:themeFill="accent6" w:themeFillTint="33"/>
            <w:vAlign w:val="center"/>
          </w:tcPr>
          <w:p>
            <w:pPr>
              <w:pStyle w:val="29"/>
              <w:spacing w:before="60" w:after="60"/>
            </w:pPr>
            <w:r>
              <w:rPr>
                <w:rFonts w:hint="eastAsia"/>
              </w:rPr>
              <w:t>3</w:t>
            </w:r>
          </w:p>
        </w:tc>
        <w:tc>
          <w:tcPr>
            <w:tcW w:w="1218"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悬臂构件</w:t>
            </w:r>
          </w:p>
        </w:tc>
        <w:tc>
          <w:tcPr>
            <w:tcW w:w="1621"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w:t>
            </w:r>
          </w:p>
        </w:tc>
        <w:tc>
          <w:tcPr>
            <w:tcW w:w="4978" w:type="dxa"/>
            <w:tcBorders>
              <w:top w:val="single" w:color="auto" w:sz="4" w:space="0"/>
              <w:left w:val="single" w:color="auto" w:sz="4" w:space="0"/>
              <w:bottom w:val="single" w:color="auto" w:sz="4" w:space="0"/>
              <w:right w:val="single" w:color="auto" w:sz="4" w:space="0"/>
            </w:tcBorders>
            <w:vAlign w:val="center"/>
          </w:tcPr>
          <w:p>
            <w:pPr>
              <w:pStyle w:val="29"/>
              <w:spacing w:before="60" w:after="60"/>
            </w:pPr>
            <w:r>
              <w:rPr>
                <w:rFonts w:hint="eastAsia"/>
              </w:rPr>
              <w:t>≥100</w:t>
            </w:r>
          </w:p>
        </w:tc>
      </w:tr>
    </w:tbl>
    <w:p>
      <w:pPr>
        <w:ind w:firstLine="480"/>
      </w:pPr>
      <w:r>
        <w:rPr>
          <w:rFonts w:hint="eastAsia"/>
        </w:rPr>
        <w:t>在《模板早拆施工技术规程》DB11 694-2009的6.3.2条中有如下说明：根据规范GB50204，当板的结构跨度不大于2米时，混凝土强度达到设计强度标准值的50﹪即可拆除模板，通过大量C20等级混凝土楼板实施模板早拆技术的工程实践，证明混凝土强度达到50﹪（即10MPa）时，实施模板早拆是安全的。经试验研究得出，施工期内截面受弯承载力主要取决于当时混凝土所到达的强度值。在正常的施工荷载情况下，不同等级的混凝土自重是基本相同的，因此在支撑间距为2米的情况下，混凝土强度达到10MPa时，强度等级大于C20的楼板实施模板早拆也是安全的。</w:t>
      </w:r>
    </w:p>
    <w:p>
      <w:pPr>
        <w:ind w:firstLine="480"/>
      </w:pPr>
      <w:r>
        <w:rPr>
          <w:rFonts w:hint="eastAsia"/>
        </w:rPr>
        <w:t>在模板拆除前，需做模板拆除申请，报审监理、甲方审批同意后方能拆除。</w:t>
      </w:r>
    </w:p>
    <w:p>
      <w:pPr>
        <w:pStyle w:val="5"/>
        <w:spacing w:before="120" w:after="120"/>
      </w:pPr>
      <w:r>
        <w:rPr>
          <w:rFonts w:hint="eastAsia"/>
        </w:rPr>
        <w:t>拆除过程</w:t>
      </w:r>
    </w:p>
    <w:p>
      <w:pPr>
        <w:pStyle w:val="44"/>
        <w:spacing w:before="120" w:after="120"/>
      </w:pPr>
      <w:r>
        <w:rPr>
          <w:rFonts w:hint="eastAsia"/>
        </w:rPr>
        <w:t>工艺流程:</w:t>
      </w:r>
    </w:p>
    <w:p>
      <w:pPr>
        <w:ind w:firstLine="480"/>
        <w:rPr>
          <w:bdr w:val="single" w:color="auto" w:sz="4" w:space="0"/>
        </w:rPr>
      </w:pPr>
      <w:r>
        <w:rPr>
          <w:rFonts w:hint="eastAsia"/>
          <w:bdr w:val="single" w:color="auto" w:sz="4" w:space="0"/>
        </w:rPr>
        <w:t>拆除墙柱侧模</w:t>
      </w:r>
      <w:r>
        <w:rPr>
          <w:rFonts w:hint="eastAsia"/>
        </w:rPr>
        <w:t>→</w:t>
      </w:r>
      <w:r>
        <w:rPr>
          <w:rFonts w:hint="eastAsia"/>
          <w:bdr w:val="single" w:color="auto" w:sz="4" w:space="0"/>
        </w:rPr>
        <w:t>拆除顶模</w:t>
      </w:r>
      <w:r>
        <w:rPr>
          <w:rFonts w:hint="eastAsia"/>
        </w:rPr>
        <w:t>→</w:t>
      </w:r>
      <w:r>
        <w:rPr>
          <w:rFonts w:hint="eastAsia"/>
          <w:bdr w:val="single" w:color="auto" w:sz="4" w:space="0"/>
        </w:rPr>
        <w:t>拆除单支顶</w:t>
      </w:r>
    </w:p>
    <w:p>
      <w:pPr>
        <w:pStyle w:val="44"/>
        <w:spacing w:before="120" w:after="120"/>
      </w:pPr>
      <w:r>
        <w:rPr>
          <w:rFonts w:hint="eastAsia"/>
        </w:rPr>
        <w:t>拆除墙柱侧模：</w:t>
      </w:r>
    </w:p>
    <w:p>
      <w:pPr>
        <w:ind w:firstLine="480"/>
      </w:pPr>
      <w:r>
        <w:rPr>
          <w:rFonts w:hint="eastAsia"/>
        </w:rPr>
        <w:t>墙柱模板拆除流程:</w:t>
      </w:r>
    </w:p>
    <w:p>
      <w:pPr>
        <w:ind w:firstLine="480"/>
        <w:rPr>
          <w:bdr w:val="single" w:color="auto" w:sz="4" w:space="0"/>
        </w:rPr>
      </w:pPr>
      <w:r>
        <w:rPr>
          <w:rFonts w:hint="eastAsia"/>
          <w:bdr w:val="single" w:color="auto" w:sz="4" w:space="0"/>
        </w:rPr>
        <w:t>拆除对拉螺杆</w:t>
      </w:r>
      <w:r>
        <w:rPr>
          <w:rFonts w:hint="eastAsia"/>
        </w:rPr>
        <w:t>→</w:t>
      </w:r>
      <w:r>
        <w:rPr>
          <w:rFonts w:hint="eastAsia"/>
          <w:bdr w:val="single" w:color="auto" w:sz="4" w:space="0"/>
        </w:rPr>
        <w:t>拆除斜撑</w:t>
      </w:r>
      <w:r>
        <w:rPr>
          <w:rFonts w:hint="eastAsia"/>
        </w:rPr>
        <w:t>→</w:t>
      </w:r>
      <w:r>
        <w:rPr>
          <w:rFonts w:hint="eastAsia"/>
          <w:bdr w:val="single" w:color="auto" w:sz="4" w:space="0"/>
        </w:rPr>
        <w:t>拆除模板</w:t>
      </w:r>
      <w:r>
        <w:rPr>
          <w:rFonts w:hint="eastAsia"/>
        </w:rPr>
        <w:t>→</w:t>
      </w:r>
      <w:r>
        <w:rPr>
          <w:rFonts w:hint="eastAsia"/>
          <w:bdr w:val="single" w:color="auto" w:sz="4" w:space="0"/>
        </w:rPr>
        <w:t>模板清理</w:t>
      </w:r>
      <w:r>
        <w:rPr>
          <w:rFonts w:hint="eastAsia"/>
        </w:rPr>
        <w:t>→</w:t>
      </w:r>
      <w:r>
        <w:rPr>
          <w:rFonts w:hint="eastAsia"/>
          <w:bdr w:val="single" w:color="auto" w:sz="4" w:space="0"/>
        </w:rPr>
        <w:t>搬运模板</w:t>
      </w:r>
      <w:r>
        <w:rPr>
          <w:rFonts w:hint="eastAsia"/>
        </w:rPr>
        <w:t>→</w:t>
      </w:r>
      <w:r>
        <w:rPr>
          <w:rFonts w:hint="eastAsia"/>
          <w:bdr w:val="single" w:color="auto" w:sz="4" w:space="0"/>
        </w:rPr>
        <w:t>堆放备用</w:t>
      </w:r>
    </w:p>
    <w:p>
      <w:pPr>
        <w:ind w:firstLine="480"/>
      </w:pPr>
      <w:r>
        <w:rPr>
          <w:rFonts w:hint="eastAsia"/>
        </w:rPr>
        <w:t>当混凝土强度达到1.2Mpa，即可拆除侧模，一般情况下混凝土浇筑完12小时后可以拆除墙柱侧摸。先拆除斜撑，后松动、拆除对拉螺杆；拆除对拉螺杆时，用扳手松动螺母，取下蝴蝶扣，除下背楞，轻击螺栓一端，至螺栓退出混凝土。再拆除铝模连接的锁销和锁片，用撬棍撬动模板下口，使模板和墙体脱离。拆下的模板和配件及时清理，并通过上料口搬运至上层结构。模板拆除时注意防止损伤结构的棱角部位。</w:t>
      </w:r>
    </w:p>
    <w:p>
      <w:pPr>
        <w:pStyle w:val="44"/>
        <w:spacing w:before="120" w:after="120"/>
      </w:pPr>
      <w:r>
        <w:rPr>
          <w:rFonts w:hint="eastAsia"/>
        </w:rPr>
        <w:t>拆除顶模：</w:t>
      </w:r>
    </w:p>
    <w:p>
      <w:pPr>
        <w:ind w:firstLine="480"/>
      </w:pPr>
      <w:r>
        <w:rPr>
          <w:rFonts w:hint="eastAsia"/>
        </w:rPr>
        <w:t>根据铝模的早拆体系，当混凝土浇筑完成后强度达到设计强度的50%后方可拆除顶模。顶模拆除先从梁、板支撑杆连接的位置开始，拆除梁、板支撑杆145毫米锁销和与其相连的快拆连接锁条。紧跟着拆除与其相邻梁、板的锁销和锁片，然后可以拆除铝模板。拆除顶模时确保单支顶与早拆头保持原样，不得松动。</w:t>
      </w:r>
    </w:p>
    <w:p>
      <w:pPr>
        <w:pStyle w:val="44"/>
        <w:spacing w:before="120" w:after="120"/>
      </w:pPr>
      <w:r>
        <w:rPr>
          <w:rFonts w:hint="eastAsia"/>
        </w:rPr>
        <w:t>拆除单支顶：</w:t>
      </w:r>
    </w:p>
    <w:p>
      <w:pPr>
        <w:ind w:firstLine="480"/>
      </w:pPr>
      <w:r>
        <w:rPr>
          <w:rFonts w:hint="eastAsia"/>
        </w:rPr>
        <w:t>单支顶的拆除应符合《混凝土工程施工质量验收规范》GB50204-2002关于底模拆除时的混凝土强度要求，根据留置的拆模试块来确定单支顶的拆除时间，一般情况下，十天后拆除板底支撑。拆除每个支撑杆时，用一只手抓住单支顶另一只手用锤松动方向锤击可调节支点，即可拆除单支顶。</w:t>
      </w:r>
    </w:p>
    <w:p>
      <w:pPr>
        <w:pStyle w:val="5"/>
        <w:spacing w:before="120" w:after="120"/>
      </w:pPr>
      <w:r>
        <w:rPr>
          <w:rFonts w:hint="eastAsia"/>
        </w:rPr>
        <w:t>安全保证措施</w:t>
      </w:r>
    </w:p>
    <w:p>
      <w:pPr>
        <w:pStyle w:val="6"/>
        <w:spacing w:before="120" w:after="120"/>
      </w:pPr>
      <w:r>
        <w:rPr>
          <w:rFonts w:hint="eastAsia"/>
        </w:rPr>
        <w:t>支撑系统的水平纵横杆等不得随意拆除。</w:t>
      </w:r>
    </w:p>
    <w:p>
      <w:pPr>
        <w:pStyle w:val="6"/>
        <w:spacing w:before="120" w:after="120"/>
      </w:pPr>
      <w:r>
        <w:rPr>
          <w:rFonts w:hint="eastAsia"/>
        </w:rPr>
        <w:t>拆除每层支撑及模板前，应将该层混凝土试件送实验室检测，当试块达到规定的强度达到下表要求后，并呈报监理公司经监理工程师同意办理书面手续并确认不再需要时，方可拆除。</w:t>
      </w:r>
    </w:p>
    <w:p>
      <w:pPr>
        <w:pStyle w:val="6"/>
        <w:spacing w:before="120" w:after="120"/>
      </w:pPr>
      <w:r>
        <w:rPr>
          <w:rFonts w:hint="eastAsia"/>
        </w:rPr>
        <w:t>侧模拆除时的混凝土应能保证其表面及棱角不受损伤。</w:t>
      </w:r>
    </w:p>
    <w:p>
      <w:pPr>
        <w:pStyle w:val="6"/>
        <w:spacing w:before="120" w:after="120"/>
      </w:pPr>
      <w:r>
        <w:rPr>
          <w:rFonts w:hint="eastAsia"/>
        </w:rPr>
        <w:t>拆除4m高度以上梁、柱、墙模板时，应搭设脚手架或操作平台，设防护栏杆。拆除时逐块拆卸，不得成片松动、撬落或拉倒。</w:t>
      </w:r>
    </w:p>
    <w:p>
      <w:pPr>
        <w:pStyle w:val="6"/>
        <w:spacing w:before="120" w:after="120"/>
      </w:pPr>
      <w:r>
        <w:rPr>
          <w:rFonts w:hint="eastAsia"/>
        </w:rPr>
        <w:t>拆除平台、楼板的底模时，应设临时支撑，防止大片模板坠落。拆立柱时，操作人员应站在待拆范围以外安全地区拉拆，防止模板突然全部掉落伤人。</w:t>
      </w:r>
    </w:p>
    <w:p>
      <w:pPr>
        <w:pStyle w:val="3"/>
        <w:spacing w:before="120" w:after="120"/>
      </w:pPr>
      <w:bookmarkStart w:id="90" w:name="_Toc121292623"/>
      <w:bookmarkStart w:id="91" w:name="_Toc129070565"/>
      <w:bookmarkStart w:id="92" w:name="_Toc121229972"/>
      <w:bookmarkStart w:id="93" w:name="_Toc121230361"/>
      <w:r>
        <w:rPr>
          <w:rFonts w:hint="eastAsia"/>
        </w:rPr>
        <w:t>使用要求</w:t>
      </w:r>
      <w:bookmarkEnd w:id="90"/>
      <w:bookmarkEnd w:id="91"/>
      <w:bookmarkEnd w:id="92"/>
      <w:bookmarkEnd w:id="93"/>
    </w:p>
    <w:p>
      <w:pPr>
        <w:pStyle w:val="4"/>
        <w:spacing w:before="120" w:after="120"/>
      </w:pPr>
      <w:bookmarkStart w:id="94" w:name="_Toc129070566"/>
      <w:bookmarkStart w:id="95" w:name="_Toc121229973"/>
      <w:bookmarkStart w:id="96" w:name="_Toc121230362"/>
      <w:bookmarkStart w:id="97" w:name="_Toc121292624"/>
      <w:r>
        <w:rPr>
          <w:rFonts w:hint="eastAsia"/>
        </w:rPr>
        <w:t>混凝土浇筑要求</w:t>
      </w:r>
      <w:bookmarkEnd w:id="94"/>
      <w:bookmarkEnd w:id="95"/>
      <w:bookmarkEnd w:id="96"/>
      <w:bookmarkEnd w:id="97"/>
    </w:p>
    <w:p>
      <w:pPr>
        <w:pStyle w:val="6"/>
        <w:spacing w:before="120" w:after="120"/>
      </w:pPr>
      <w:r>
        <w:rPr>
          <w:rFonts w:hint="eastAsia"/>
        </w:rPr>
        <w:t>混凝土浇筑前，施工单位项目技术负责人、项目质量总监确认模板支架符合安全和质量要求，钢筋安装工程达到隐蔽的条件，安装预留完毕，天气条件许可，能具备混凝土浇筑的安全生产条件后，签署混凝土浇筑令，方可浇筑混凝土；</w:t>
      </w:r>
    </w:p>
    <w:p>
      <w:pPr>
        <w:ind w:firstLine="480"/>
      </w:pPr>
    </w:p>
    <w:p>
      <w:pPr>
        <w:pStyle w:val="3"/>
        <w:spacing w:before="120" w:after="120"/>
      </w:pPr>
      <w:bookmarkStart w:id="98" w:name="_Toc129070567"/>
      <w:bookmarkStart w:id="99" w:name="_Toc121292625"/>
      <w:bookmarkStart w:id="100" w:name="_Toc121230363"/>
      <w:bookmarkStart w:id="101" w:name="_Toc121229974"/>
      <w:r>
        <w:rPr>
          <w:rFonts w:hint="eastAsia"/>
        </w:rPr>
        <w:t>检查要求</w:t>
      </w:r>
      <w:bookmarkEnd w:id="98"/>
      <w:bookmarkEnd w:id="99"/>
      <w:bookmarkEnd w:id="100"/>
      <w:bookmarkEnd w:id="101"/>
    </w:p>
    <w:p>
      <w:pPr>
        <w:pStyle w:val="9"/>
        <w:keepNext/>
      </w:pPr>
      <w:r>
        <w:t xml:space="preserve">表 </w:t>
      </w:r>
      <w:r>
        <w:fldChar w:fldCharType="begin"/>
      </w:r>
      <w:r>
        <w:instrText xml:space="preserve"> STYLEREF 2 \s </w:instrText>
      </w:r>
      <w:r>
        <w:fldChar w:fldCharType="separate"/>
      </w:r>
      <w:r>
        <w:t>4.5</w:t>
      </w:r>
      <w:r>
        <w:fldChar w:fldCharType="end"/>
      </w:r>
      <w:r>
        <w:noBreakHyphen/>
      </w:r>
      <w:r>
        <w:fldChar w:fldCharType="begin"/>
      </w:r>
      <w:r>
        <w:instrText xml:space="preserve"> SEQ 表 \* ARABIC \s 2 </w:instrText>
      </w:r>
      <w:r>
        <w:fldChar w:fldCharType="separate"/>
      </w:r>
      <w:r>
        <w:t>1</w:t>
      </w:r>
      <w:r>
        <w:fldChar w:fldCharType="end"/>
      </w:r>
      <w:r>
        <w:t xml:space="preserve">  </w:t>
      </w:r>
      <w:r>
        <w:rPr>
          <w:rFonts w:hint="eastAsia"/>
        </w:rPr>
        <w:t>模板检查要求</w:t>
      </w:r>
    </w:p>
    <w:tbl>
      <w:tblPr>
        <w:tblStyle w:val="21"/>
        <w:tblW w:w="90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6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17" w:type="dxa"/>
            <w:shd w:val="clear" w:color="auto" w:fill="DEEAF6"/>
          </w:tcPr>
          <w:p>
            <w:pPr>
              <w:pStyle w:val="29"/>
              <w:spacing w:before="60" w:after="60"/>
            </w:pPr>
            <w:r>
              <w:rPr>
                <w:rFonts w:hint="eastAsia"/>
              </w:rPr>
              <w:t>序号</w:t>
            </w:r>
          </w:p>
        </w:tc>
        <w:tc>
          <w:tcPr>
            <w:tcW w:w="1559" w:type="dxa"/>
            <w:shd w:val="clear" w:color="auto" w:fill="DEEAF6"/>
          </w:tcPr>
          <w:p>
            <w:pPr>
              <w:pStyle w:val="29"/>
              <w:spacing w:before="60" w:after="60"/>
            </w:pPr>
            <w:r>
              <w:rPr>
                <w:rFonts w:hint="eastAsia"/>
              </w:rPr>
              <w:t>验收程序</w:t>
            </w:r>
          </w:p>
        </w:tc>
        <w:tc>
          <w:tcPr>
            <w:tcW w:w="6695" w:type="dxa"/>
            <w:shd w:val="clear" w:color="auto" w:fill="DEEAF6"/>
          </w:tcPr>
          <w:p>
            <w:pPr>
              <w:pStyle w:val="29"/>
              <w:spacing w:before="60" w:after="60"/>
            </w:pPr>
            <w:r>
              <w:rPr>
                <w:rFonts w:hint="eastAsia"/>
              </w:rPr>
              <w:t>验收内容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E2EFD9"/>
            <w:vAlign w:val="center"/>
          </w:tcPr>
          <w:p>
            <w:pPr>
              <w:pStyle w:val="29"/>
              <w:spacing w:before="60" w:after="60"/>
            </w:pPr>
            <w:r>
              <w:rPr>
                <w:rFonts w:hint="eastAsia"/>
              </w:rPr>
              <w:t>1</w:t>
            </w:r>
          </w:p>
        </w:tc>
        <w:tc>
          <w:tcPr>
            <w:tcW w:w="1559" w:type="dxa"/>
            <w:shd w:val="clear" w:color="auto" w:fill="auto"/>
            <w:vAlign w:val="center"/>
          </w:tcPr>
          <w:p>
            <w:pPr>
              <w:pStyle w:val="29"/>
              <w:spacing w:before="60" w:after="60"/>
            </w:pPr>
            <w:r>
              <w:rPr>
                <w:rFonts w:hint="eastAsia"/>
              </w:rPr>
              <w:t>材料进场检查内容</w:t>
            </w:r>
          </w:p>
        </w:tc>
        <w:tc>
          <w:tcPr>
            <w:tcW w:w="6695" w:type="dxa"/>
            <w:shd w:val="clear" w:color="auto" w:fill="auto"/>
            <w:vAlign w:val="center"/>
          </w:tcPr>
          <w:p>
            <w:pPr>
              <w:pStyle w:val="29"/>
              <w:spacing w:before="60" w:after="60"/>
              <w:jc w:val="left"/>
            </w:pPr>
            <w:r>
              <w:t>1）应有产品质量合格证；</w:t>
            </w:r>
          </w:p>
          <w:p>
            <w:pPr>
              <w:pStyle w:val="29"/>
              <w:spacing w:before="60" w:after="60"/>
              <w:jc w:val="left"/>
            </w:pPr>
            <w:r>
              <w:t>2）钢支撑和钢背楞必须涂有防锈漆。</w:t>
            </w:r>
          </w:p>
          <w:p>
            <w:pPr>
              <w:pStyle w:val="29"/>
              <w:spacing w:before="60" w:after="60"/>
              <w:jc w:val="left"/>
            </w:pPr>
            <w:r>
              <w:t>3）钢管、插销、连接轮、连接套外径、壁厚、端面等的偏差应符合规范的要求。</w:t>
            </w:r>
          </w:p>
          <w:p>
            <w:pPr>
              <w:pStyle w:val="29"/>
              <w:spacing w:before="60" w:after="60"/>
              <w:jc w:val="left"/>
            </w:pPr>
            <w:r>
              <w:t>4）应有质量检验报告，钢管材质检验方法应符合国家标准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817" w:type="dxa"/>
            <w:shd w:val="clear" w:color="auto" w:fill="E2EFD9"/>
            <w:vAlign w:val="center"/>
          </w:tcPr>
          <w:p>
            <w:pPr>
              <w:pStyle w:val="29"/>
              <w:spacing w:before="60" w:after="60"/>
            </w:pPr>
            <w:r>
              <w:rPr>
                <w:rFonts w:hint="eastAsia"/>
              </w:rPr>
              <w:t>2</w:t>
            </w:r>
          </w:p>
        </w:tc>
        <w:tc>
          <w:tcPr>
            <w:tcW w:w="1559" w:type="dxa"/>
            <w:shd w:val="clear" w:color="auto" w:fill="auto"/>
            <w:vAlign w:val="center"/>
          </w:tcPr>
          <w:p>
            <w:pPr>
              <w:pStyle w:val="29"/>
              <w:spacing w:before="60" w:after="60"/>
            </w:pPr>
            <w:r>
              <w:rPr>
                <w:rFonts w:hint="eastAsia"/>
              </w:rPr>
              <w:t>模板安装检查内容</w:t>
            </w:r>
          </w:p>
        </w:tc>
        <w:tc>
          <w:tcPr>
            <w:tcW w:w="6695" w:type="dxa"/>
            <w:shd w:val="clear" w:color="auto" w:fill="auto"/>
            <w:vAlign w:val="center"/>
          </w:tcPr>
          <w:p>
            <w:pPr>
              <w:pStyle w:val="29"/>
              <w:spacing w:before="60" w:after="60"/>
              <w:jc w:val="left"/>
            </w:pPr>
            <w:r>
              <w:t>1）铝模加固及校正完后应进行自检，特别重点检查墙柱部位；检查墙柱的垂直度 ，顶板的平整度，墙的截面尺寸是否符合要求。</w:t>
            </w:r>
          </w:p>
          <w:p>
            <w:pPr>
              <w:pStyle w:val="29"/>
              <w:spacing w:before="60" w:after="60"/>
              <w:jc w:val="left"/>
            </w:pPr>
            <w:r>
              <w:t>2）检查锁销、锁片是否脱落，对拉螺杆连接是否完好。</w:t>
            </w:r>
          </w:p>
          <w:p>
            <w:pPr>
              <w:pStyle w:val="29"/>
              <w:spacing w:before="60" w:after="60"/>
              <w:jc w:val="left"/>
            </w:pPr>
            <w:r>
              <w:t>3）检查墙柱的斜撑有无松动。</w:t>
            </w:r>
          </w:p>
          <w:p>
            <w:pPr>
              <w:pStyle w:val="29"/>
              <w:spacing w:before="60" w:after="60"/>
              <w:jc w:val="left"/>
            </w:pPr>
            <w:r>
              <w:t>4）检查楼板底模的单支顶是否垂直，是否顶住顶板底模。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817" w:type="dxa"/>
            <w:shd w:val="clear" w:color="auto" w:fill="E2EFD9"/>
            <w:vAlign w:val="center"/>
          </w:tcPr>
          <w:p>
            <w:pPr>
              <w:pStyle w:val="29"/>
              <w:spacing w:before="60" w:after="60"/>
            </w:pPr>
            <w:r>
              <w:rPr>
                <w:rFonts w:hint="eastAsia"/>
              </w:rPr>
              <w:t>3</w:t>
            </w:r>
          </w:p>
        </w:tc>
        <w:tc>
          <w:tcPr>
            <w:tcW w:w="1559" w:type="dxa"/>
            <w:shd w:val="clear" w:color="auto" w:fill="auto"/>
            <w:vAlign w:val="center"/>
          </w:tcPr>
          <w:p>
            <w:pPr>
              <w:pStyle w:val="29"/>
              <w:spacing w:before="60" w:after="60"/>
            </w:pPr>
            <w:r>
              <w:rPr>
                <w:rFonts w:hint="eastAsia"/>
              </w:rPr>
              <w:t>搭设检查内容</w:t>
            </w:r>
          </w:p>
        </w:tc>
        <w:tc>
          <w:tcPr>
            <w:tcW w:w="6695" w:type="dxa"/>
            <w:shd w:val="clear" w:color="auto" w:fill="auto"/>
            <w:vAlign w:val="center"/>
          </w:tcPr>
          <w:p>
            <w:pPr>
              <w:pStyle w:val="29"/>
              <w:spacing w:before="60" w:after="60"/>
              <w:jc w:val="left"/>
            </w:pPr>
            <w:r>
              <w:t>1）</w:t>
            </w:r>
            <w:r>
              <w:rPr>
                <w:rFonts w:hint="eastAsia"/>
              </w:rPr>
              <w:t>立杆间距</w:t>
            </w:r>
          </w:p>
          <w:p>
            <w:pPr>
              <w:pStyle w:val="29"/>
              <w:spacing w:before="60" w:after="60"/>
              <w:jc w:val="left"/>
            </w:pPr>
            <w:r>
              <w:t>2）</w:t>
            </w:r>
            <w:r>
              <w:rPr>
                <w:rFonts w:hint="eastAsia"/>
              </w:rPr>
              <w:t>水平杆步距</w:t>
            </w:r>
          </w:p>
          <w:p>
            <w:pPr>
              <w:pStyle w:val="29"/>
              <w:spacing w:before="60" w:after="60"/>
              <w:jc w:val="left"/>
            </w:pPr>
            <w:r>
              <w:t>3）</w:t>
            </w:r>
            <w:r>
              <w:rPr>
                <w:rFonts w:hint="eastAsia"/>
              </w:rPr>
              <w:t>扫地杆设置</w:t>
            </w:r>
          </w:p>
          <w:p>
            <w:pPr>
              <w:pStyle w:val="29"/>
              <w:spacing w:before="60" w:after="60"/>
              <w:jc w:val="left"/>
            </w:pPr>
            <w:r>
              <w:t>4）</w:t>
            </w:r>
            <w:r>
              <w:rPr>
                <w:rFonts w:hint="eastAsia"/>
              </w:rPr>
              <w:t>立柱的规格尺寸和垂直度应符合要求，不得出现偏心荷载</w:t>
            </w:r>
          </w:p>
        </w:tc>
      </w:tr>
    </w:tbl>
    <w:p>
      <w:pPr>
        <w:ind w:firstLine="480"/>
      </w:pPr>
    </w:p>
    <w:p>
      <w:pPr>
        <w:pStyle w:val="2"/>
        <w:spacing w:before="120" w:after="120"/>
      </w:pPr>
      <w:bookmarkStart w:id="102" w:name="_Toc121229975"/>
      <w:bookmarkStart w:id="103" w:name="_Toc121292626"/>
      <w:bookmarkStart w:id="104" w:name="_Toc121230364"/>
      <w:bookmarkStart w:id="105" w:name="_Toc129070568"/>
      <w:r>
        <w:rPr>
          <w:rFonts w:hint="eastAsia"/>
        </w:rPr>
        <w:t>施工保证措施</w:t>
      </w:r>
      <w:bookmarkEnd w:id="102"/>
      <w:bookmarkEnd w:id="103"/>
      <w:bookmarkEnd w:id="104"/>
      <w:bookmarkEnd w:id="105"/>
    </w:p>
    <w:p>
      <w:pPr>
        <w:pStyle w:val="3"/>
        <w:spacing w:before="120" w:after="120"/>
      </w:pPr>
      <w:bookmarkStart w:id="106" w:name="_Toc121230365"/>
      <w:bookmarkStart w:id="107" w:name="_Toc121292627"/>
      <w:bookmarkStart w:id="108" w:name="_Toc129070569"/>
      <w:bookmarkStart w:id="109" w:name="_Toc121229976"/>
      <w:r>
        <w:rPr>
          <w:rFonts w:hint="eastAsia"/>
        </w:rPr>
        <w:t>组织保障措施</w:t>
      </w:r>
      <w:bookmarkEnd w:id="106"/>
      <w:bookmarkEnd w:id="107"/>
      <w:bookmarkEnd w:id="108"/>
      <w:bookmarkEnd w:id="109"/>
    </w:p>
    <w:p>
      <w:pPr>
        <w:pStyle w:val="4"/>
        <w:spacing w:before="120" w:after="120"/>
      </w:pPr>
      <w:bookmarkStart w:id="110" w:name="_Toc121292628"/>
      <w:bookmarkStart w:id="111" w:name="_Toc121229977"/>
      <w:bookmarkStart w:id="112" w:name="_Toc121230366"/>
      <w:bookmarkStart w:id="113" w:name="_Toc129070570"/>
      <w:r>
        <w:rPr>
          <w:rFonts w:hint="eastAsia"/>
        </w:rPr>
        <w:t>安全组织机构</w:t>
      </w:r>
      <w:bookmarkEnd w:id="110"/>
      <w:bookmarkEnd w:id="111"/>
      <w:bookmarkEnd w:id="112"/>
      <w:bookmarkEnd w:id="113"/>
    </w:p>
    <w:p>
      <w:pPr>
        <w:ind w:firstLine="480"/>
      </w:pPr>
      <w:r>
        <w:rPr>
          <w:rFonts w:hint="eastAsia"/>
        </w:rPr>
        <w:t>建立覆盖项目管理人员的生产安全管理小组，其中领导小组成员必须保持手机24小时畅通。安全管理领导小组组成员如下表所示：</w:t>
      </w:r>
    </w:p>
    <w:p>
      <w:pPr>
        <w:pStyle w:val="4"/>
        <w:spacing w:before="120" w:after="120"/>
      </w:pPr>
      <w:bookmarkStart w:id="114" w:name="_Toc121229978"/>
      <w:bookmarkStart w:id="115" w:name="_Toc121292629"/>
      <w:bookmarkStart w:id="116" w:name="_Toc121230367"/>
      <w:bookmarkStart w:id="117" w:name="_Toc129070571"/>
      <w:r>
        <w:rPr>
          <w:rFonts w:hint="eastAsia"/>
        </w:rPr>
        <w:t>安全生产制度</w:t>
      </w:r>
      <w:bookmarkEnd w:id="114"/>
      <w:bookmarkEnd w:id="115"/>
      <w:bookmarkEnd w:id="116"/>
      <w:bookmarkEnd w:id="117"/>
    </w:p>
    <w:p>
      <w:pPr>
        <w:pStyle w:val="5"/>
        <w:spacing w:before="120" w:after="120"/>
      </w:pPr>
      <w:r>
        <w:rPr>
          <w:rFonts w:hint="eastAsia"/>
        </w:rPr>
        <w:t xml:space="preserve">安全生产责任制度 </w:t>
      </w:r>
    </w:p>
    <w:p>
      <w:pPr>
        <w:ind w:firstLine="480"/>
      </w:pPr>
      <w:r>
        <w:rPr>
          <w:rFonts w:hint="eastAsia"/>
        </w:rPr>
        <w:t>建立以安全生产责任制为核心的各项安全管理制度。主要包括各级各类人员的安全生产责任制、安全生产目标管理制度、安全检查制度、安全教育制度、安全技术措施计划制度、安全交底制度、特种作业人员管理制度、安全验收制度、班组安全活动制度、事故报告与调查处理制度、安全奖罚制度等。安全生产责任目标层层分解，落实到人。</w:t>
      </w:r>
    </w:p>
    <w:p>
      <w:pPr>
        <w:pStyle w:val="5"/>
        <w:spacing w:before="120" w:after="120"/>
      </w:pPr>
      <w:r>
        <w:rPr>
          <w:rFonts w:hint="eastAsia"/>
        </w:rPr>
        <w:t>安全生产教育和培训制度</w:t>
      </w:r>
    </w:p>
    <w:p>
      <w:pPr>
        <w:ind w:firstLine="480"/>
      </w:pPr>
      <w:r>
        <w:rPr>
          <w:rFonts w:hint="eastAsia"/>
        </w:rPr>
        <w:t>为了模板工程的安全顺利施工，新老职工和新岗位职工必须接受及时和全面的安全教育，提高职工的安全意识，特制定如下安全教育制度：</w:t>
      </w:r>
    </w:p>
    <w:p>
      <w:pPr>
        <w:ind w:firstLine="480"/>
      </w:pPr>
      <w:r>
        <w:rPr>
          <w:rFonts w:hint="eastAsia"/>
        </w:rPr>
        <w:t>凡新老职工进入本工程项目参加现场施工的人员，必须经过三级教育（公司、项目部和班组），未经过安全教育的工人一律禁止上岗作业；新工人进场必须接受不小于50小时的安全知识等教育，并经书面考试合格后方可施工。</w:t>
      </w:r>
    </w:p>
    <w:p>
      <w:pPr>
        <w:pStyle w:val="5"/>
        <w:spacing w:before="120" w:after="120"/>
      </w:pPr>
      <w:r>
        <w:rPr>
          <w:rFonts w:hint="eastAsia"/>
        </w:rPr>
        <w:t>安全生产奖惩制度</w:t>
      </w:r>
    </w:p>
    <w:p>
      <w:pPr>
        <w:ind w:firstLine="480"/>
      </w:pPr>
      <w:r>
        <w:rPr>
          <w:rFonts w:hint="eastAsia"/>
        </w:rPr>
        <w:t>对在安全生产中作出显著成绩的班组和个人给予奖励和表彰；对落后的班组和个人应予处罚和教育，对事故责任者根据有关规定作出相应的处罚或追究相应的责任；</w:t>
      </w:r>
    </w:p>
    <w:p>
      <w:pPr>
        <w:ind w:firstLine="480"/>
      </w:pPr>
      <w:r>
        <w:rPr>
          <w:rFonts w:hint="eastAsia"/>
        </w:rPr>
        <w:t>对检查中提出的问题没有按时整改或整改不彻底的责任者，进行相应的经济处罚。</w:t>
      </w:r>
    </w:p>
    <w:p>
      <w:pPr>
        <w:pStyle w:val="5"/>
        <w:spacing w:before="120" w:after="120"/>
      </w:pPr>
      <w:r>
        <w:rPr>
          <w:rFonts w:hint="eastAsia"/>
        </w:rPr>
        <w:t>安全生产检查与验收制度</w:t>
      </w:r>
    </w:p>
    <w:p>
      <w:pPr>
        <w:ind w:firstLine="480"/>
      </w:pPr>
      <w:r>
        <w:rPr>
          <w:rFonts w:hint="eastAsia"/>
        </w:rPr>
        <w:t>安全检查：</w:t>
      </w:r>
    </w:p>
    <w:p>
      <w:pPr>
        <w:ind w:firstLine="480"/>
      </w:pPr>
      <w:r>
        <w:rPr>
          <w:rFonts w:hint="eastAsia"/>
        </w:rPr>
        <w:t>定期检查：项目部每周检查一次，且各种节假日前均要进行一次检查，节后要复查，检查时要求由项目经理主持，安全主管主要负责，技术、工程、机械、后勤、保卫和班组长等各部门均要配合参加并落实整改责任。</w:t>
      </w:r>
    </w:p>
    <w:p>
      <w:pPr>
        <w:ind w:firstLine="480"/>
      </w:pPr>
      <w:r>
        <w:rPr>
          <w:rFonts w:hint="eastAsia"/>
        </w:rPr>
        <w:t>临时性检查：包括施工高峰期、机构和人员有重大变动、节假日前后、工伤和事故之后、上级临时安排的检查。检查时生产经理主持，安全主管负责，各主管工长、班组长均要参加并落实相关整改责任。</w:t>
      </w:r>
    </w:p>
    <w:p>
      <w:pPr>
        <w:ind w:firstLine="480"/>
      </w:pPr>
      <w:r>
        <w:rPr>
          <w:rFonts w:hint="eastAsia"/>
        </w:rPr>
        <w:t>验收性检查：检查时由技术总工和安全主管负责，各主管工长、安装单位、机械、电工均要参加并落实相关整改责任。</w:t>
      </w:r>
    </w:p>
    <w:p>
      <w:pPr>
        <w:ind w:firstLine="480"/>
      </w:pPr>
      <w:r>
        <w:rPr>
          <w:rFonts w:hint="eastAsia"/>
        </w:rPr>
        <w:t>专业性检查：包括各专项施工方案等，在施工前由技术总工主持，木工工长、钢筋工长、模板班组长、钢筋班组长均要参加并严格按经批准后的专项方案要求施工。</w:t>
      </w:r>
    </w:p>
    <w:p>
      <w:pPr>
        <w:ind w:firstLine="480"/>
      </w:pPr>
      <w:r>
        <w:rPr>
          <w:rFonts w:hint="eastAsia"/>
        </w:rPr>
        <w:t>对检查出的问题要开出整改通知单，限期整改，进行复检，对存在重大安全隐患的部位要责令停工整改，各相关责任人分别落实相应的责任，项目经理落实领导责任，项目副经理落实具体的实施领导责任，技术总工落实技术责任，安全员落实监督责任，主管工长和班组长落实各主管和承包范围内的整改责任。</w:t>
      </w:r>
    </w:p>
    <w:p>
      <w:pPr>
        <w:ind w:firstLine="480"/>
      </w:pPr>
      <w:r>
        <w:rPr>
          <w:rFonts w:hint="eastAsia"/>
        </w:rPr>
        <w:t>安全验收：</w:t>
      </w:r>
    </w:p>
    <w:p>
      <w:pPr>
        <w:ind w:firstLine="480"/>
      </w:pPr>
      <w:r>
        <w:rPr>
          <w:rFonts w:hint="eastAsia"/>
        </w:rPr>
        <w:t>本工程坚持“验收合格才能使用”的原则进行施工安全验收，所有验收都必须进行记录并办理书面确认手续，否则无效。</w:t>
      </w:r>
    </w:p>
    <w:p>
      <w:pPr>
        <w:pStyle w:val="5"/>
        <w:spacing w:before="120" w:after="120"/>
      </w:pPr>
      <w:r>
        <w:rPr>
          <w:rFonts w:hint="eastAsia"/>
        </w:rPr>
        <w:t>安全生产岗位认证制度</w:t>
      </w:r>
    </w:p>
    <w:p>
      <w:pPr>
        <w:ind w:firstLine="480"/>
      </w:pPr>
      <w:r>
        <w:rPr>
          <w:rFonts w:hint="eastAsia"/>
        </w:rPr>
        <w:t>安全员和特种作业人员必须持证上岗；</w:t>
      </w:r>
    </w:p>
    <w:p>
      <w:pPr>
        <w:ind w:firstLine="480"/>
      </w:pPr>
      <w:r>
        <w:rPr>
          <w:rFonts w:hint="eastAsia"/>
        </w:rPr>
        <w:t>特殊工种的操作人员要做到有安全操作证才能上岗工作，这主要指塔吊司机、司索、架子工、电焊工、电工等特殊工种。</w:t>
      </w:r>
    </w:p>
    <w:p>
      <w:pPr>
        <w:pStyle w:val="5"/>
        <w:spacing w:before="120" w:after="120"/>
      </w:pPr>
      <w:r>
        <w:rPr>
          <w:rFonts w:hint="eastAsia"/>
        </w:rPr>
        <w:t>安全事故处理制度</w:t>
      </w:r>
    </w:p>
    <w:p>
      <w:pPr>
        <w:ind w:firstLine="480"/>
      </w:pPr>
      <w:r>
        <w:rPr>
          <w:rFonts w:hint="eastAsia"/>
        </w:rPr>
        <w:t>现场发生的安全事故，都要本着“四不放过”的原则进行处理，查明原因，教育大家，并落实整改措施。大、重大事故必须及时向上级部门及有关部门汇报，积极配合和接受有关部门的调查和处理。</w:t>
      </w:r>
    </w:p>
    <w:p>
      <w:pPr>
        <w:pStyle w:val="5"/>
        <w:spacing w:before="120" w:after="120"/>
      </w:pPr>
      <w:r>
        <w:rPr>
          <w:rFonts w:hint="eastAsia"/>
        </w:rPr>
        <w:t>坚持安全交底制度</w:t>
      </w:r>
    </w:p>
    <w:p>
      <w:pPr>
        <w:ind w:firstLine="480"/>
      </w:pPr>
      <w:r>
        <w:rPr>
          <w:rFonts w:hint="eastAsia"/>
        </w:rPr>
        <w:t>技术部在编制施工方案、技术措施时，必须编制详细的、有针对性的安全措施，并向操作人员进行书面交底，双方签字认可。高大模板支撑系统搭设、拆除及混凝土浇筑过程中，应有专业技术人员进行现场指导，设专人负责安全检查，发现险情，立即停止施工并采取应急措施，排除险情后，方可继续施工。</w:t>
      </w:r>
    </w:p>
    <w:p>
      <w:pPr>
        <w:pStyle w:val="3"/>
        <w:spacing w:before="120" w:after="120"/>
      </w:pPr>
      <w:bookmarkStart w:id="118" w:name="_Toc121229979"/>
      <w:bookmarkStart w:id="119" w:name="_Toc129070572"/>
      <w:bookmarkStart w:id="120" w:name="_Toc121230368"/>
      <w:bookmarkStart w:id="121" w:name="_Toc121292630"/>
      <w:r>
        <w:rPr>
          <w:rFonts w:hint="eastAsia"/>
        </w:rPr>
        <w:t>技术措施</w:t>
      </w:r>
      <w:bookmarkEnd w:id="118"/>
      <w:bookmarkEnd w:id="119"/>
      <w:bookmarkEnd w:id="120"/>
      <w:bookmarkEnd w:id="121"/>
    </w:p>
    <w:p>
      <w:pPr>
        <w:pStyle w:val="4"/>
        <w:spacing w:before="120" w:after="120"/>
      </w:pPr>
      <w:bookmarkStart w:id="122" w:name="_Toc121292631"/>
      <w:bookmarkStart w:id="123" w:name="_Toc121230369"/>
      <w:bookmarkStart w:id="124" w:name="_Toc129070573"/>
      <w:bookmarkStart w:id="125" w:name="_Toc121229980"/>
      <w:r>
        <w:rPr>
          <w:rFonts w:hint="eastAsia"/>
        </w:rPr>
        <w:t>安全保证措施</w:t>
      </w:r>
      <w:bookmarkEnd w:id="122"/>
      <w:bookmarkEnd w:id="123"/>
      <w:bookmarkEnd w:id="124"/>
      <w:bookmarkEnd w:id="125"/>
    </w:p>
    <w:p>
      <w:pPr>
        <w:pStyle w:val="4"/>
        <w:spacing w:before="120" w:after="120"/>
      </w:pPr>
      <w:bookmarkStart w:id="126" w:name="_Toc129070574"/>
      <w:r>
        <w:rPr>
          <w:rFonts w:hint="eastAsia"/>
        </w:rPr>
        <w:t>质量保证措施</w:t>
      </w:r>
      <w:bookmarkEnd w:id="126"/>
    </w:p>
    <w:p>
      <w:pPr>
        <w:pStyle w:val="4"/>
        <w:spacing w:before="120" w:after="120"/>
      </w:pPr>
      <w:bookmarkStart w:id="127" w:name="_Toc129070575"/>
      <w:bookmarkStart w:id="128" w:name="_Toc121292633"/>
      <w:bookmarkStart w:id="129" w:name="_Toc121230371"/>
      <w:bookmarkStart w:id="130" w:name="_Toc121229982"/>
      <w:r>
        <w:rPr>
          <w:rFonts w:hint="eastAsia"/>
        </w:rPr>
        <w:t>文明施工保证措施</w:t>
      </w:r>
      <w:bookmarkEnd w:id="127"/>
      <w:bookmarkEnd w:id="128"/>
      <w:bookmarkEnd w:id="129"/>
      <w:bookmarkEnd w:id="130"/>
    </w:p>
    <w:p>
      <w:pPr>
        <w:pStyle w:val="4"/>
        <w:spacing w:before="120" w:after="120"/>
      </w:pPr>
      <w:bookmarkStart w:id="131" w:name="_Toc121229983"/>
      <w:bookmarkStart w:id="132" w:name="_Toc121230372"/>
      <w:bookmarkStart w:id="133" w:name="_Toc129070576"/>
      <w:bookmarkStart w:id="134" w:name="_Toc121292634"/>
      <w:r>
        <w:rPr>
          <w:rFonts w:hint="eastAsia"/>
        </w:rPr>
        <w:t>环境保护措施</w:t>
      </w:r>
      <w:bookmarkEnd w:id="131"/>
      <w:bookmarkEnd w:id="132"/>
      <w:bookmarkEnd w:id="133"/>
      <w:bookmarkEnd w:id="134"/>
    </w:p>
    <w:p>
      <w:pPr>
        <w:pStyle w:val="4"/>
        <w:spacing w:before="120" w:after="120"/>
      </w:pPr>
      <w:bookmarkStart w:id="135" w:name="_Toc129070577"/>
      <w:bookmarkStart w:id="136" w:name="_Toc121229984"/>
      <w:bookmarkStart w:id="137" w:name="_Toc121292635"/>
      <w:bookmarkStart w:id="138" w:name="_Toc121230373"/>
      <w:r>
        <w:rPr>
          <w:rFonts w:hint="eastAsia"/>
        </w:rPr>
        <w:t>季节性施工保证措施</w:t>
      </w:r>
      <w:bookmarkEnd w:id="135"/>
      <w:bookmarkEnd w:id="136"/>
      <w:bookmarkEnd w:id="137"/>
      <w:bookmarkEnd w:id="138"/>
    </w:p>
    <w:p>
      <w:pPr>
        <w:pStyle w:val="5"/>
        <w:spacing w:before="120" w:after="120"/>
      </w:pPr>
      <w:r>
        <w:rPr>
          <w:rFonts w:hint="eastAsia"/>
        </w:rPr>
        <w:t>夏季施工保证措施</w:t>
      </w:r>
    </w:p>
    <w:p>
      <w:pPr>
        <w:pStyle w:val="5"/>
        <w:spacing w:before="120" w:after="120"/>
      </w:pPr>
      <w:r>
        <w:rPr>
          <w:rFonts w:hint="eastAsia"/>
        </w:rPr>
        <w:t>冬季施工保证措施</w:t>
      </w:r>
    </w:p>
    <w:p>
      <w:pPr>
        <w:pStyle w:val="5"/>
        <w:spacing w:before="120" w:after="120"/>
      </w:pPr>
      <w:r>
        <w:rPr>
          <w:rFonts w:hint="eastAsia"/>
        </w:rPr>
        <w:t>雨季施工保证措施</w:t>
      </w:r>
    </w:p>
    <w:p>
      <w:pPr>
        <w:pStyle w:val="2"/>
        <w:spacing w:before="120" w:after="120"/>
      </w:pPr>
      <w:bookmarkStart w:id="139" w:name="_Toc121292641"/>
      <w:bookmarkStart w:id="140" w:name="_Toc121229990"/>
      <w:bookmarkStart w:id="141" w:name="_Toc129070578"/>
      <w:bookmarkStart w:id="142" w:name="_Toc121230379"/>
      <w:r>
        <w:rPr>
          <w:rFonts w:hint="eastAsia"/>
        </w:rPr>
        <w:t>施工管理及作业人员配备和分工</w:t>
      </w:r>
      <w:bookmarkEnd w:id="139"/>
      <w:bookmarkEnd w:id="140"/>
      <w:bookmarkEnd w:id="141"/>
      <w:bookmarkEnd w:id="142"/>
    </w:p>
    <w:p>
      <w:pPr>
        <w:pStyle w:val="3"/>
        <w:spacing w:before="120" w:after="120"/>
      </w:pPr>
      <w:bookmarkStart w:id="143" w:name="_Toc129070579"/>
      <w:bookmarkStart w:id="144" w:name="_Toc121229991"/>
      <w:bookmarkStart w:id="145" w:name="_Toc121292642"/>
      <w:bookmarkStart w:id="146" w:name="_Toc121230380"/>
      <w:r>
        <w:rPr>
          <w:rFonts w:hint="eastAsia"/>
        </w:rPr>
        <w:t>施工管理人员</w:t>
      </w:r>
      <w:bookmarkEnd w:id="143"/>
      <w:bookmarkEnd w:id="144"/>
      <w:bookmarkEnd w:id="145"/>
      <w:bookmarkEnd w:id="146"/>
    </w:p>
    <w:p>
      <w:pPr>
        <w:pStyle w:val="3"/>
        <w:spacing w:before="120" w:after="120"/>
      </w:pPr>
      <w:bookmarkStart w:id="147" w:name="_Toc121229993"/>
      <w:bookmarkStart w:id="148" w:name="_Toc121292644"/>
      <w:bookmarkStart w:id="149" w:name="_Toc129070581"/>
      <w:bookmarkStart w:id="150" w:name="_Toc121230382"/>
      <w:r>
        <w:rPr>
          <w:rFonts w:hint="eastAsia"/>
        </w:rPr>
        <w:t>专职安全人员</w:t>
      </w:r>
      <w:bookmarkEnd w:id="147"/>
      <w:bookmarkEnd w:id="148"/>
      <w:bookmarkEnd w:id="149"/>
      <w:bookmarkEnd w:id="150"/>
    </w:p>
    <w:p>
      <w:pPr>
        <w:pStyle w:val="3"/>
        <w:spacing w:before="120" w:after="120"/>
      </w:pPr>
      <w:bookmarkStart w:id="151" w:name="_Toc129070582"/>
      <w:bookmarkStart w:id="152" w:name="_Toc121292645"/>
      <w:bookmarkStart w:id="153" w:name="_Toc121230383"/>
      <w:bookmarkStart w:id="154" w:name="_Toc121229994"/>
      <w:r>
        <w:rPr>
          <w:rFonts w:hint="eastAsia"/>
        </w:rPr>
        <w:t>特种作业人员</w:t>
      </w:r>
      <w:bookmarkEnd w:id="151"/>
      <w:bookmarkEnd w:id="152"/>
      <w:bookmarkEnd w:id="153"/>
      <w:bookmarkEnd w:id="154"/>
    </w:p>
    <w:p>
      <w:pPr>
        <w:pStyle w:val="3"/>
        <w:spacing w:before="120" w:after="120"/>
      </w:pPr>
      <w:bookmarkStart w:id="155" w:name="_Toc121292646"/>
      <w:bookmarkStart w:id="156" w:name="_Toc129070583"/>
      <w:bookmarkStart w:id="157" w:name="_Toc121229995"/>
      <w:bookmarkStart w:id="158" w:name="_Toc121230384"/>
      <w:r>
        <w:rPr>
          <w:rFonts w:hint="eastAsia"/>
        </w:rPr>
        <w:t>其他作业人员</w:t>
      </w:r>
      <w:bookmarkEnd w:id="155"/>
      <w:bookmarkEnd w:id="156"/>
      <w:bookmarkEnd w:id="157"/>
      <w:bookmarkEnd w:id="158"/>
    </w:p>
    <w:p>
      <w:pPr>
        <w:pStyle w:val="2"/>
        <w:spacing w:before="120" w:after="120"/>
      </w:pPr>
      <w:bookmarkStart w:id="159" w:name="_Toc121230385"/>
      <w:bookmarkStart w:id="160" w:name="_Toc129070584"/>
      <w:bookmarkStart w:id="161" w:name="_Toc121292647"/>
      <w:bookmarkStart w:id="162" w:name="_Toc121229996"/>
      <w:r>
        <w:rPr>
          <w:rFonts w:hint="eastAsia"/>
        </w:rPr>
        <w:t>验收要求</w:t>
      </w:r>
      <w:bookmarkEnd w:id="159"/>
      <w:bookmarkEnd w:id="160"/>
      <w:bookmarkEnd w:id="161"/>
      <w:bookmarkEnd w:id="162"/>
    </w:p>
    <w:p>
      <w:pPr>
        <w:pStyle w:val="3"/>
        <w:spacing w:before="120" w:after="120"/>
      </w:pPr>
      <w:bookmarkStart w:id="163" w:name="_Toc129070585"/>
      <w:bookmarkStart w:id="164" w:name="_Toc121229997"/>
      <w:bookmarkStart w:id="165" w:name="_Toc121230386"/>
      <w:bookmarkStart w:id="166" w:name="_Toc121292648"/>
      <w:r>
        <w:rPr>
          <w:rFonts w:hint="eastAsia"/>
        </w:rPr>
        <w:t>验收标准</w:t>
      </w:r>
      <w:bookmarkEnd w:id="163"/>
      <w:bookmarkEnd w:id="164"/>
      <w:bookmarkEnd w:id="165"/>
      <w:bookmarkEnd w:id="166"/>
    </w:p>
    <w:p>
      <w:pPr>
        <w:pStyle w:val="3"/>
        <w:spacing w:before="120" w:after="120"/>
      </w:pPr>
      <w:bookmarkStart w:id="167" w:name="_Toc121229998"/>
      <w:bookmarkStart w:id="168" w:name="_Toc121230387"/>
      <w:bookmarkStart w:id="169" w:name="_Toc129070586"/>
      <w:bookmarkStart w:id="170" w:name="_Toc121292649"/>
      <w:r>
        <w:rPr>
          <w:rFonts w:hint="eastAsia"/>
        </w:rPr>
        <w:t>验收程序及人员</w:t>
      </w:r>
      <w:bookmarkEnd w:id="167"/>
      <w:bookmarkEnd w:id="168"/>
      <w:bookmarkEnd w:id="169"/>
      <w:bookmarkEnd w:id="170"/>
    </w:p>
    <w:p>
      <w:pPr>
        <w:pStyle w:val="3"/>
        <w:spacing w:before="120" w:after="120"/>
      </w:pPr>
      <w:bookmarkStart w:id="171" w:name="_Toc121292650"/>
      <w:bookmarkStart w:id="172" w:name="_Toc121230388"/>
      <w:bookmarkStart w:id="173" w:name="_Toc121229999"/>
      <w:bookmarkStart w:id="174" w:name="_Toc129070587"/>
      <w:r>
        <w:rPr>
          <w:rFonts w:hint="eastAsia"/>
        </w:rPr>
        <w:t>验收内容</w:t>
      </w:r>
      <w:bookmarkEnd w:id="171"/>
      <w:bookmarkEnd w:id="172"/>
      <w:bookmarkEnd w:id="173"/>
      <w:bookmarkEnd w:id="174"/>
    </w:p>
    <w:p>
      <w:pPr>
        <w:pStyle w:val="2"/>
        <w:spacing w:before="120" w:after="120"/>
      </w:pPr>
      <w:bookmarkStart w:id="175" w:name="_Toc121230389"/>
      <w:bookmarkStart w:id="176" w:name="_Toc121292651"/>
      <w:bookmarkStart w:id="177" w:name="_Toc121230000"/>
      <w:bookmarkStart w:id="178" w:name="_Toc129070588"/>
      <w:r>
        <w:rPr>
          <w:rFonts w:hint="eastAsia"/>
        </w:rPr>
        <w:t>应急处置措施</w:t>
      </w:r>
      <w:bookmarkEnd w:id="175"/>
      <w:bookmarkEnd w:id="176"/>
      <w:bookmarkEnd w:id="177"/>
      <w:bookmarkEnd w:id="178"/>
    </w:p>
    <w:p>
      <w:pPr>
        <w:pStyle w:val="3"/>
        <w:spacing w:before="120" w:after="120"/>
      </w:pPr>
      <w:bookmarkStart w:id="179" w:name="_Toc121230390"/>
      <w:bookmarkStart w:id="180" w:name="_Toc129070589"/>
      <w:bookmarkStart w:id="181" w:name="_Toc121292652"/>
      <w:bookmarkStart w:id="182" w:name="_Toc121230001"/>
      <w:r>
        <w:rPr>
          <w:rFonts w:hint="eastAsia"/>
        </w:rPr>
        <w:t>应急处置小组组成</w:t>
      </w:r>
      <w:bookmarkEnd w:id="179"/>
      <w:bookmarkEnd w:id="180"/>
      <w:bookmarkEnd w:id="181"/>
      <w:bookmarkEnd w:id="182"/>
    </w:p>
    <w:p>
      <w:pPr>
        <w:ind w:firstLine="480"/>
      </w:pPr>
      <w:r>
        <w:rPr>
          <w:rFonts w:hint="eastAsia"/>
        </w:rPr>
        <w:t>成立以项目经理为总指挥的应急指挥部，下设应急办公室、物资保障组、技术支持组、应急行动组、后勤保障组、安全保卫组、资金保障组，应急组织机构图如下：</w:t>
      </w:r>
    </w:p>
    <w:p>
      <w:pPr>
        <w:spacing w:before="120" w:after="120"/>
        <w:ind w:firstLine="480"/>
        <w:rPr>
          <w:b/>
        </w:rPr>
      </w:pPr>
      <w:r>
        <w:drawing>
          <wp:inline distT="0" distB="0" distL="114300" distR="114300">
            <wp:extent cx="3092450" cy="2012950"/>
            <wp:effectExtent l="0" t="0" r="12700" b="6350"/>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r:embed="rId12"/>
                    <a:stretch>
                      <a:fillRect/>
                    </a:stretch>
                  </pic:blipFill>
                  <pic:spPr>
                    <a:xfrm>
                      <a:off x="0" y="0"/>
                      <a:ext cx="3092450" cy="2012950"/>
                    </a:xfrm>
                    <a:prstGeom prst="rect">
                      <a:avLst/>
                    </a:prstGeom>
                    <a:noFill/>
                    <a:ln>
                      <a:noFill/>
                    </a:ln>
                  </pic:spPr>
                </pic:pic>
              </a:graphicData>
            </a:graphic>
          </wp:inline>
        </w:drawing>
      </w:r>
    </w:p>
    <w:p>
      <w:pPr>
        <w:spacing w:before="120" w:after="120"/>
        <w:ind w:firstLine="480"/>
      </w:pPr>
      <w:r>
        <w:rPr>
          <w:rFonts w:hint="eastAsia"/>
        </w:rPr>
        <w:t>应急组织机构图</w:t>
      </w:r>
    </w:p>
    <w:p>
      <w:pPr>
        <w:pStyle w:val="3"/>
        <w:spacing w:before="120" w:after="120"/>
      </w:pPr>
      <w:bookmarkStart w:id="183" w:name="_Toc121292653"/>
      <w:bookmarkStart w:id="184" w:name="_Toc129070590"/>
      <w:bookmarkStart w:id="185" w:name="_Toc121230002"/>
      <w:bookmarkStart w:id="186" w:name="_Toc121230391"/>
      <w:r>
        <w:rPr>
          <w:rFonts w:hint="eastAsia"/>
        </w:rPr>
        <w:t>岗位职责</w:t>
      </w:r>
      <w:bookmarkEnd w:id="183"/>
      <w:bookmarkEnd w:id="184"/>
      <w:bookmarkEnd w:id="185"/>
      <w:bookmarkEnd w:id="186"/>
    </w:p>
    <w:p>
      <w:pPr>
        <w:pStyle w:val="3"/>
        <w:spacing w:before="120" w:after="120"/>
      </w:pPr>
      <w:bookmarkStart w:id="187" w:name="_Toc121230392"/>
      <w:bookmarkStart w:id="188" w:name="_Toc129070591"/>
      <w:bookmarkStart w:id="189" w:name="_Toc121292654"/>
      <w:bookmarkStart w:id="190" w:name="_Toc121230003"/>
      <w:r>
        <w:rPr>
          <w:rFonts w:hint="eastAsia"/>
        </w:rPr>
        <w:t>应急响应及救援程序</w:t>
      </w:r>
      <w:bookmarkEnd w:id="187"/>
      <w:bookmarkEnd w:id="188"/>
      <w:bookmarkEnd w:id="189"/>
      <w:bookmarkEnd w:id="190"/>
    </w:p>
    <w:p>
      <w:pPr>
        <w:shd w:val="clear" w:color="auto" w:fill="FFFFFF"/>
        <w:spacing w:line="480" w:lineRule="atLeast"/>
        <w:ind w:firstLine="512"/>
        <w:rPr>
          <w:rFonts w:cs="宋体"/>
          <w:color w:val="000000"/>
          <w:spacing w:val="8"/>
        </w:rPr>
      </w:pPr>
      <w:r>
        <w:rPr>
          <w:rFonts w:hint="eastAsia" w:cs="宋体"/>
          <w:color w:val="000000"/>
          <w:spacing w:val="8"/>
        </w:rPr>
        <w:t>当发生事故或紧急情况时，相关区域负责人应立即通报应急指挥部，应急指挥接到通知后迅速召集各应急小组成员，分析现场事故情况，明确救援步骤、所需设备及人员，按照策划、分工，实施救援。应急响应流程图如下：</w:t>
      </w:r>
    </w:p>
    <w:p>
      <w:pPr>
        <w:keepNext/>
        <w:spacing w:before="120" w:after="120"/>
        <w:ind w:firstLine="480"/>
      </w:pPr>
      <w:r>
        <w:object>
          <v:shape id="_x0000_i1026" o:spt="75" type="#_x0000_t75" style="height:465.8pt;width:371.9pt;" o:ole="t" filled="f" o:preferrelative="t" stroked="f" coordsize="21600,21600">
            <v:path/>
            <v:fill on="f" focussize="0,0"/>
            <v:stroke on="f" joinstyle="miter"/>
            <v:imagedata r:id="rId14" o:title=""/>
            <o:lock v:ext="edit" aspectratio="t"/>
            <w10:wrap type="none"/>
            <w10:anchorlock/>
          </v:shape>
          <o:OLEObject Type="Embed" ProgID="Visio.Drawing.11" ShapeID="_x0000_i1026" DrawAspect="Content" ObjectID="_1468075725" r:id="rId13">
            <o:LockedField>false</o:LockedField>
          </o:OLEObject>
        </w:object>
      </w:r>
    </w:p>
    <w:p>
      <w:pPr>
        <w:pStyle w:val="9"/>
      </w:pPr>
      <w:r>
        <w:t xml:space="preserve">图 </w:t>
      </w:r>
      <w:r>
        <w:fldChar w:fldCharType="begin"/>
      </w:r>
      <w:r>
        <w:instrText xml:space="preserve"> STYLEREF 2 \s </w:instrText>
      </w:r>
      <w:r>
        <w:fldChar w:fldCharType="separate"/>
      </w:r>
      <w:r>
        <w:t>8.3</w:t>
      </w:r>
      <w:r>
        <w:fldChar w:fldCharType="end"/>
      </w:r>
      <w:r>
        <w:noBreakHyphen/>
      </w:r>
      <w:r>
        <w:fldChar w:fldCharType="begin"/>
      </w:r>
      <w:r>
        <w:instrText xml:space="preserve"> SEQ 图 \* ARABIC \s 2 </w:instrText>
      </w:r>
      <w:r>
        <w:fldChar w:fldCharType="separate"/>
      </w:r>
      <w:r>
        <w:t>1</w:t>
      </w:r>
      <w:r>
        <w:fldChar w:fldCharType="end"/>
      </w:r>
      <w:r>
        <w:t xml:space="preserve">  </w:t>
      </w:r>
      <w:r>
        <w:rPr>
          <w:rFonts w:hint="eastAsia"/>
        </w:rPr>
        <w:t>应急响应流程图</w:t>
      </w:r>
    </w:p>
    <w:p>
      <w:pPr>
        <w:pStyle w:val="3"/>
        <w:spacing w:before="120" w:after="120"/>
      </w:pPr>
      <w:bookmarkStart w:id="191" w:name="_Toc121230004"/>
      <w:bookmarkStart w:id="192" w:name="_Toc129070592"/>
      <w:bookmarkStart w:id="193" w:name="_Toc121292655"/>
      <w:bookmarkStart w:id="194" w:name="_Toc121230393"/>
      <w:r>
        <w:rPr>
          <w:rFonts w:hint="eastAsia"/>
        </w:rPr>
        <w:t>应急事件（重大隐患和事故）及其应急措施。</w:t>
      </w:r>
      <w:bookmarkEnd w:id="191"/>
      <w:bookmarkEnd w:id="192"/>
      <w:bookmarkEnd w:id="193"/>
      <w:bookmarkEnd w:id="194"/>
    </w:p>
    <w:p>
      <w:pPr>
        <w:pStyle w:val="3"/>
        <w:spacing w:before="120" w:after="120"/>
      </w:pPr>
      <w:bookmarkStart w:id="195" w:name="_Toc121230394"/>
      <w:bookmarkStart w:id="196" w:name="_Toc121292656"/>
      <w:bookmarkStart w:id="197" w:name="_Toc129070593"/>
      <w:bookmarkStart w:id="198" w:name="_Toc121230005"/>
      <w:r>
        <w:rPr>
          <w:rFonts w:hint="eastAsia"/>
        </w:rPr>
        <w:t>救援医院信息(名称、电话、救援线路)。</w:t>
      </w:r>
      <w:bookmarkEnd w:id="195"/>
      <w:bookmarkEnd w:id="196"/>
      <w:bookmarkEnd w:id="197"/>
      <w:bookmarkEnd w:id="198"/>
    </w:p>
    <w:p>
      <w:pPr>
        <w:pStyle w:val="3"/>
        <w:spacing w:before="120" w:after="120"/>
      </w:pPr>
      <w:bookmarkStart w:id="199" w:name="_Toc129070594"/>
      <w:bookmarkStart w:id="200" w:name="_Toc121230395"/>
      <w:bookmarkStart w:id="201" w:name="_Toc121230006"/>
      <w:bookmarkStart w:id="202" w:name="_Toc121292657"/>
      <w:r>
        <w:rPr>
          <w:rFonts w:hint="eastAsia"/>
        </w:rPr>
        <w:t>应急物资准备。</w:t>
      </w:r>
      <w:bookmarkEnd w:id="199"/>
      <w:bookmarkEnd w:id="200"/>
      <w:bookmarkEnd w:id="201"/>
      <w:bookmarkEnd w:id="202"/>
    </w:p>
    <w:p>
      <w:pPr>
        <w:ind w:firstLine="480"/>
      </w:pPr>
      <w:r>
        <w:rPr>
          <w:rFonts w:hint="eastAsia"/>
        </w:rPr>
        <w:t>根据项目特点及救援工作的实际需要，科学合理地配备应急物资，在应急状态下由应急指挥部统一调配使用。应急物资包括：</w:t>
      </w:r>
    </w:p>
    <w:p>
      <w:pPr>
        <w:ind w:firstLine="480"/>
      </w:pPr>
      <w:r>
        <w:rPr>
          <w:rFonts w:hint="eastAsia"/>
        </w:rPr>
        <w:t>① 救援物资：铁锹、防雨油布、切割机、救生索、压力钳等；</w:t>
      </w:r>
    </w:p>
    <w:p>
      <w:pPr>
        <w:ind w:firstLine="480"/>
      </w:pPr>
      <w:r>
        <w:rPr>
          <w:rFonts w:hint="eastAsia"/>
        </w:rPr>
        <w:t>② 医疗器材：简易担架、药棉、胶布、创可贴品、绷带、氧气呼吸器；</w:t>
      </w:r>
    </w:p>
    <w:p>
      <w:pPr>
        <w:ind w:firstLine="480"/>
      </w:pPr>
      <w:r>
        <w:rPr>
          <w:rFonts w:hint="eastAsia"/>
        </w:rPr>
        <w:t>③ 通讯工具：对讲机、手机；</w:t>
      </w:r>
    </w:p>
    <w:p>
      <w:pPr>
        <w:ind w:firstLine="480"/>
      </w:pPr>
      <w:r>
        <w:rPr>
          <w:rFonts w:hint="eastAsia"/>
        </w:rPr>
        <w:t>④ 其他：警戒绳、应急照明、手电筒、应急救护车辆（现场小车）、小红旗。</w:t>
      </w:r>
    </w:p>
    <w:p>
      <w:pPr>
        <w:pStyle w:val="2"/>
        <w:spacing w:before="120" w:after="120"/>
      </w:pPr>
      <w:bookmarkStart w:id="203" w:name="_Toc121292658"/>
      <w:bookmarkStart w:id="204" w:name="_Toc121230396"/>
      <w:bookmarkStart w:id="205" w:name="_Toc129010295"/>
      <w:bookmarkStart w:id="206" w:name="_Toc121230007"/>
      <w:r>
        <w:rPr>
          <w:rFonts w:hint="eastAsia"/>
        </w:rPr>
        <w:t>计算书</w:t>
      </w:r>
      <w:bookmarkEnd w:id="203"/>
      <w:bookmarkEnd w:id="204"/>
      <w:bookmarkEnd w:id="205"/>
      <w:bookmarkEnd w:id="206"/>
    </w:p>
    <w:p>
      <w:pPr>
        <w:pStyle w:val="3"/>
        <w:spacing w:before="120" w:after="120"/>
      </w:pPr>
      <w:bookmarkStart w:id="207" w:name="_Toc121230397"/>
      <w:bookmarkStart w:id="208" w:name="_Toc121230008"/>
      <w:bookmarkStart w:id="209" w:name="_Toc129010296"/>
      <w:bookmarkStart w:id="210" w:name="_Toc121292659"/>
      <w:r>
        <w:rPr>
          <w:rFonts w:hint="eastAsia"/>
        </w:rPr>
        <w:t>计算依据</w:t>
      </w:r>
      <w:bookmarkEnd w:id="207"/>
      <w:bookmarkEnd w:id="208"/>
      <w:bookmarkEnd w:id="209"/>
      <w:bookmarkEnd w:id="210"/>
    </w:p>
    <w:tbl>
      <w:tblPr>
        <w:tblStyle w:val="21"/>
        <w:tblW w:w="436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4906"/>
        <w:gridCol w:w="22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tblHeader/>
          <w:jc w:val="center"/>
        </w:trPr>
        <w:tc>
          <w:tcPr>
            <w:tcW w:w="554" w:type="pct"/>
            <w:shd w:val="clear" w:color="auto" w:fill="DEEAF6"/>
            <w:vAlign w:val="center"/>
          </w:tcPr>
          <w:p>
            <w:pPr>
              <w:pStyle w:val="29"/>
              <w:spacing w:before="60" w:after="60"/>
              <w:ind w:firstLine="480"/>
            </w:pPr>
            <w:r>
              <w:rPr>
                <w:rFonts w:hint="eastAsia"/>
              </w:rPr>
              <w:t>序号</w:t>
            </w:r>
          </w:p>
        </w:tc>
        <w:tc>
          <w:tcPr>
            <w:tcW w:w="3037" w:type="pct"/>
            <w:shd w:val="clear" w:color="auto" w:fill="DEEAF6"/>
            <w:vAlign w:val="center"/>
          </w:tcPr>
          <w:p>
            <w:pPr>
              <w:pStyle w:val="29"/>
              <w:spacing w:before="60" w:after="60"/>
              <w:ind w:firstLine="480"/>
            </w:pPr>
            <w:r>
              <w:rPr>
                <w:rFonts w:hint="eastAsia"/>
              </w:rPr>
              <w:t>名称</w:t>
            </w:r>
          </w:p>
        </w:tc>
        <w:tc>
          <w:tcPr>
            <w:tcW w:w="1408" w:type="pct"/>
            <w:shd w:val="clear" w:color="auto" w:fill="DEEAF6"/>
            <w:vAlign w:val="center"/>
          </w:tcPr>
          <w:p>
            <w:pPr>
              <w:pStyle w:val="29"/>
              <w:spacing w:before="60" w:after="60"/>
              <w:ind w:firstLine="480"/>
            </w:pPr>
            <w:r>
              <w:rPr>
                <w:rFonts w:hint="eastAsia"/>
              </w:rPr>
              <w:t>编号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554" w:type="pct"/>
            <w:shd w:val="clear" w:color="auto" w:fill="E2EFD9"/>
            <w:vAlign w:val="center"/>
          </w:tcPr>
          <w:p>
            <w:pPr>
              <w:pStyle w:val="29"/>
              <w:spacing w:before="60" w:after="60"/>
              <w:ind w:firstLine="480"/>
            </w:pPr>
            <w:r>
              <w:rPr>
                <w:rFonts w:hint="eastAsia"/>
              </w:rPr>
              <w:t>1</w:t>
            </w:r>
          </w:p>
        </w:tc>
        <w:tc>
          <w:tcPr>
            <w:tcW w:w="3037" w:type="pct"/>
            <w:shd w:val="clear" w:color="auto" w:fill="auto"/>
            <w:vAlign w:val="center"/>
          </w:tcPr>
          <w:p>
            <w:pPr>
              <w:pStyle w:val="29"/>
              <w:spacing w:before="60" w:after="60"/>
              <w:ind w:firstLine="480"/>
            </w:pPr>
            <w:r>
              <w:rPr>
                <w:rFonts w:hint="eastAsia"/>
              </w:rPr>
              <w:t>《混凝土结构设计规范》</w:t>
            </w:r>
          </w:p>
        </w:tc>
        <w:tc>
          <w:tcPr>
            <w:tcW w:w="1408" w:type="pct"/>
            <w:shd w:val="clear" w:color="auto" w:fill="auto"/>
            <w:vAlign w:val="center"/>
          </w:tcPr>
          <w:p>
            <w:pPr>
              <w:pStyle w:val="29"/>
              <w:spacing w:before="60" w:after="60"/>
              <w:ind w:firstLine="480"/>
            </w:pPr>
            <w:r>
              <w:rPr>
                <w:rFonts w:hint="eastAsia"/>
              </w:rPr>
              <w:t>GB50010-2010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554" w:type="pct"/>
            <w:shd w:val="clear" w:color="auto" w:fill="E2EFD9"/>
            <w:vAlign w:val="center"/>
          </w:tcPr>
          <w:p>
            <w:pPr>
              <w:pStyle w:val="29"/>
              <w:spacing w:before="60" w:after="60"/>
              <w:ind w:firstLine="480"/>
            </w:pPr>
            <w:r>
              <w:rPr>
                <w:rFonts w:hint="eastAsia"/>
              </w:rPr>
              <w:t>2</w:t>
            </w:r>
          </w:p>
        </w:tc>
        <w:tc>
          <w:tcPr>
            <w:tcW w:w="3037" w:type="pct"/>
            <w:shd w:val="clear" w:color="auto" w:fill="auto"/>
            <w:vAlign w:val="center"/>
          </w:tcPr>
          <w:p>
            <w:pPr>
              <w:pStyle w:val="29"/>
              <w:spacing w:before="60" w:after="60"/>
              <w:ind w:firstLine="480"/>
            </w:pPr>
            <w:r>
              <w:rPr>
                <w:rFonts w:hint="eastAsia"/>
              </w:rPr>
              <w:t>《建筑结构荷载规范》</w:t>
            </w:r>
          </w:p>
        </w:tc>
        <w:tc>
          <w:tcPr>
            <w:tcW w:w="1408" w:type="pct"/>
            <w:shd w:val="clear" w:color="auto" w:fill="auto"/>
            <w:vAlign w:val="center"/>
          </w:tcPr>
          <w:p>
            <w:pPr>
              <w:pStyle w:val="29"/>
              <w:spacing w:before="60" w:after="60"/>
              <w:ind w:firstLine="480"/>
            </w:pPr>
            <w:r>
              <w:rPr>
                <w:rFonts w:hint="eastAsia"/>
              </w:rPr>
              <w:t>GB50009-2012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554" w:type="pct"/>
            <w:shd w:val="clear" w:color="auto" w:fill="E2EFD9"/>
            <w:vAlign w:val="center"/>
          </w:tcPr>
          <w:p>
            <w:pPr>
              <w:pStyle w:val="29"/>
              <w:spacing w:before="60" w:after="60"/>
              <w:ind w:firstLine="480"/>
            </w:pPr>
            <w:r>
              <w:rPr>
                <w:rFonts w:hint="eastAsia"/>
              </w:rPr>
              <w:t>3</w:t>
            </w:r>
          </w:p>
        </w:tc>
        <w:tc>
          <w:tcPr>
            <w:tcW w:w="3037" w:type="pct"/>
            <w:shd w:val="clear" w:color="auto" w:fill="auto"/>
            <w:vAlign w:val="center"/>
          </w:tcPr>
          <w:p>
            <w:pPr>
              <w:pStyle w:val="29"/>
              <w:spacing w:before="60" w:after="60"/>
              <w:ind w:firstLine="480"/>
            </w:pPr>
            <w:r>
              <w:rPr>
                <w:rFonts w:hint="eastAsia"/>
              </w:rPr>
              <w:t>《混凝土结构工程施工规范》</w:t>
            </w:r>
          </w:p>
        </w:tc>
        <w:tc>
          <w:tcPr>
            <w:tcW w:w="1408" w:type="pct"/>
            <w:shd w:val="clear" w:color="auto" w:fill="auto"/>
            <w:vAlign w:val="center"/>
          </w:tcPr>
          <w:p>
            <w:pPr>
              <w:pStyle w:val="29"/>
              <w:spacing w:before="60" w:after="60"/>
              <w:ind w:firstLine="480"/>
            </w:pPr>
            <w:r>
              <w:rPr>
                <w:rFonts w:hint="eastAsia"/>
              </w:rPr>
              <w:t>GB50666-2011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554" w:type="pct"/>
            <w:shd w:val="clear" w:color="auto" w:fill="E2EFD9"/>
            <w:vAlign w:val="center"/>
          </w:tcPr>
          <w:p>
            <w:pPr>
              <w:pStyle w:val="29"/>
              <w:spacing w:before="60" w:after="60"/>
              <w:ind w:firstLine="480"/>
            </w:pPr>
            <w:r>
              <w:rPr>
                <w:rFonts w:hint="eastAsia"/>
              </w:rPr>
              <w:t>4</w:t>
            </w:r>
          </w:p>
        </w:tc>
        <w:tc>
          <w:tcPr>
            <w:tcW w:w="3037" w:type="pct"/>
            <w:shd w:val="clear" w:color="auto" w:fill="auto"/>
            <w:vAlign w:val="center"/>
          </w:tcPr>
          <w:p>
            <w:pPr>
              <w:pStyle w:val="29"/>
              <w:spacing w:before="60" w:after="60"/>
              <w:ind w:firstLine="480"/>
            </w:pPr>
            <w:r>
              <w:rPr>
                <w:rFonts w:hint="eastAsia"/>
              </w:rPr>
              <w:t>《建筑结构可靠性设计统一标准》</w:t>
            </w:r>
          </w:p>
        </w:tc>
        <w:tc>
          <w:tcPr>
            <w:tcW w:w="1408" w:type="pct"/>
            <w:shd w:val="clear" w:color="auto" w:fill="auto"/>
            <w:vAlign w:val="center"/>
          </w:tcPr>
          <w:p>
            <w:pPr>
              <w:pStyle w:val="29"/>
              <w:spacing w:before="60" w:after="60"/>
              <w:ind w:firstLine="480"/>
            </w:pPr>
            <w:r>
              <w:rPr>
                <w:rFonts w:hint="eastAsia"/>
              </w:rPr>
              <w:t>GB50068-2018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554" w:type="pct"/>
            <w:shd w:val="clear" w:color="auto" w:fill="E2EFD9"/>
            <w:vAlign w:val="center"/>
          </w:tcPr>
          <w:p>
            <w:pPr>
              <w:pStyle w:val="29"/>
              <w:spacing w:before="60" w:after="60"/>
              <w:ind w:firstLine="480"/>
            </w:pPr>
            <w:r>
              <w:rPr>
                <w:rFonts w:hint="eastAsia"/>
              </w:rPr>
              <w:t>5</w:t>
            </w:r>
          </w:p>
        </w:tc>
        <w:tc>
          <w:tcPr>
            <w:tcW w:w="3037" w:type="pct"/>
            <w:shd w:val="clear" w:color="auto" w:fill="auto"/>
            <w:vAlign w:val="center"/>
          </w:tcPr>
          <w:p>
            <w:pPr>
              <w:pStyle w:val="29"/>
              <w:spacing w:before="60" w:after="60"/>
              <w:ind w:firstLine="480"/>
            </w:pPr>
            <w:r>
              <w:rPr>
                <w:rFonts w:hint="eastAsia"/>
              </w:rPr>
              <w:t>《建筑施工模板安全技术规范》</w:t>
            </w:r>
          </w:p>
        </w:tc>
        <w:tc>
          <w:tcPr>
            <w:tcW w:w="1408" w:type="pct"/>
            <w:shd w:val="clear" w:color="auto" w:fill="auto"/>
            <w:vAlign w:val="center"/>
          </w:tcPr>
          <w:p>
            <w:pPr>
              <w:pStyle w:val="29"/>
              <w:spacing w:before="60" w:after="60"/>
              <w:ind w:firstLine="480"/>
            </w:pPr>
            <w:r>
              <w:rPr>
                <w:rFonts w:hint="eastAsia"/>
              </w:rPr>
              <w:t>JGJ162-2008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554" w:type="pct"/>
            <w:shd w:val="clear" w:color="auto" w:fill="E2EFD9"/>
            <w:vAlign w:val="center"/>
          </w:tcPr>
          <w:p>
            <w:pPr>
              <w:pStyle w:val="29"/>
              <w:spacing w:before="60" w:after="60"/>
              <w:ind w:firstLine="480"/>
            </w:pPr>
            <w:r>
              <w:rPr>
                <w:rFonts w:hint="eastAsia"/>
              </w:rPr>
              <w:t>6</w:t>
            </w:r>
          </w:p>
        </w:tc>
        <w:tc>
          <w:tcPr>
            <w:tcW w:w="3037" w:type="pct"/>
            <w:shd w:val="clear" w:color="auto" w:fill="auto"/>
            <w:vAlign w:val="center"/>
          </w:tcPr>
          <w:p>
            <w:pPr>
              <w:pStyle w:val="29"/>
              <w:spacing w:before="60" w:after="60"/>
              <w:ind w:firstLine="480"/>
            </w:pPr>
            <w:r>
              <w:rPr>
                <w:rFonts w:hint="eastAsia"/>
              </w:rPr>
              <w:t>《组合铝合金模板工程技术规程》</w:t>
            </w:r>
          </w:p>
        </w:tc>
        <w:tc>
          <w:tcPr>
            <w:tcW w:w="1408" w:type="pct"/>
            <w:shd w:val="clear" w:color="auto" w:fill="auto"/>
            <w:vAlign w:val="center"/>
          </w:tcPr>
          <w:p>
            <w:pPr>
              <w:pStyle w:val="29"/>
              <w:spacing w:before="60" w:after="60"/>
              <w:ind w:firstLine="480"/>
            </w:pPr>
            <w:r>
              <w:rPr>
                <w:rFonts w:hint="eastAsia"/>
              </w:rPr>
              <w:t>JGJ386-2016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554" w:type="pct"/>
            <w:shd w:val="clear" w:color="auto" w:fill="E2EFD9"/>
            <w:vAlign w:val="center"/>
          </w:tcPr>
          <w:p>
            <w:pPr>
              <w:pStyle w:val="29"/>
              <w:spacing w:before="60" w:after="60"/>
              <w:ind w:firstLine="480"/>
            </w:pPr>
            <w:r>
              <w:rPr>
                <w:rFonts w:hint="eastAsia"/>
              </w:rPr>
              <w:t>7</w:t>
            </w:r>
          </w:p>
        </w:tc>
        <w:tc>
          <w:tcPr>
            <w:tcW w:w="3037" w:type="pct"/>
            <w:shd w:val="clear" w:color="auto" w:fill="auto"/>
            <w:vAlign w:val="center"/>
          </w:tcPr>
          <w:p>
            <w:pPr>
              <w:pStyle w:val="29"/>
              <w:spacing w:before="60" w:after="60"/>
              <w:ind w:firstLine="480"/>
            </w:pPr>
            <w:r>
              <w:rPr>
                <w:rFonts w:hint="eastAsia"/>
              </w:rPr>
              <w:t>《建筑施工手册》第五版</w:t>
            </w:r>
          </w:p>
        </w:tc>
        <w:tc>
          <w:tcPr>
            <w:tcW w:w="1408" w:type="pct"/>
            <w:shd w:val="clear" w:color="auto" w:fill="auto"/>
            <w:vAlign w:val="center"/>
          </w:tcPr>
          <w:p>
            <w:pPr>
              <w:pStyle w:val="29"/>
              <w:spacing w:before="60" w:after="60"/>
              <w:ind w:firstLine="480"/>
            </w:pPr>
            <w:r>
              <w:rPr>
                <w:rFonts w:hint="eastAsia"/>
              </w:rPr>
              <w:t>-</w:t>
            </w:r>
          </w:p>
        </w:tc>
      </w:tr>
    </w:tbl>
    <w:p>
      <w:pPr>
        <w:pStyle w:val="3"/>
        <w:spacing w:before="120" w:after="120"/>
      </w:pPr>
      <w:bookmarkStart w:id="211" w:name="_Toc121292660"/>
      <w:bookmarkStart w:id="212" w:name="_Toc129010297"/>
      <w:bookmarkStart w:id="213" w:name="_Toc121230398"/>
      <w:bookmarkStart w:id="214" w:name="_Toc121230009"/>
      <w:r>
        <w:rPr>
          <w:rFonts w:hint="eastAsia"/>
        </w:rPr>
        <w:t>构件材料数据</w:t>
      </w:r>
      <w:bookmarkEnd w:id="211"/>
      <w:bookmarkEnd w:id="212"/>
      <w:bookmarkEnd w:id="213"/>
      <w:bookmarkEnd w:id="214"/>
    </w:p>
    <w:p>
      <w:pPr>
        <w:spacing w:before="120" w:after="120"/>
        <w:ind w:firstLine="480"/>
      </w:pPr>
      <w:r>
        <w:rPr>
          <w:rFonts w:hint="eastAsia"/>
        </w:rPr>
        <w:t>铝合金材料性能指标与强度设计值</w:t>
      </w:r>
    </w:p>
    <w:p>
      <w:pPr>
        <w:spacing w:before="120" w:after="120"/>
        <w:ind w:firstLine="480"/>
      </w:pPr>
      <w:r>
        <w:rPr>
          <w:rFonts w:hint="eastAsia"/>
        </w:rPr>
        <w:t>钢材料性能指标与强度设计值</w:t>
      </w:r>
    </w:p>
    <w:p>
      <w:pPr>
        <w:pStyle w:val="3"/>
        <w:spacing w:before="120" w:after="120"/>
      </w:pPr>
      <w:bookmarkStart w:id="215" w:name="_Toc129010298"/>
      <w:bookmarkStart w:id="216" w:name="_Toc120021115"/>
      <w:bookmarkStart w:id="217" w:name="_Toc121230010"/>
      <w:bookmarkStart w:id="218" w:name="_Toc121230399"/>
      <w:bookmarkStart w:id="219" w:name="_Toc121292661"/>
      <w:r>
        <w:rPr>
          <w:rFonts w:hint="eastAsia"/>
        </w:rPr>
        <w:t>楼面模板计算</w:t>
      </w:r>
      <w:bookmarkEnd w:id="215"/>
    </w:p>
    <w:p>
      <w:pPr>
        <w:pStyle w:val="4"/>
        <w:spacing w:before="120" w:after="120"/>
      </w:pPr>
      <w:bookmarkStart w:id="220" w:name="_Toc129010299"/>
      <w:r>
        <w:rPr>
          <w:rFonts w:hint="eastAsia"/>
        </w:rPr>
        <w:t>楼面模板标准荷载值计算</w:t>
      </w:r>
      <w:bookmarkEnd w:id="220"/>
    </w:p>
    <w:p>
      <w:pPr>
        <w:pStyle w:val="4"/>
        <w:spacing w:before="120" w:after="120"/>
      </w:pPr>
      <w:bookmarkStart w:id="221" w:name="_Toc129010300"/>
      <w:r>
        <w:rPr>
          <w:rFonts w:hint="eastAsia"/>
        </w:rPr>
        <w:t>楼面模板面板计算</w:t>
      </w:r>
      <w:bookmarkEnd w:id="221"/>
    </w:p>
    <w:p>
      <w:pPr>
        <w:pStyle w:val="4"/>
        <w:spacing w:before="120" w:after="120"/>
      </w:pPr>
      <w:bookmarkStart w:id="222" w:name="_Toc129010301"/>
      <w:r>
        <w:rPr>
          <w:rFonts w:hint="eastAsia"/>
        </w:rPr>
        <w:t>楼面模板纵肋计算</w:t>
      </w:r>
      <w:bookmarkEnd w:id="222"/>
    </w:p>
    <w:p>
      <w:pPr>
        <w:pStyle w:val="4"/>
        <w:spacing w:before="120" w:after="120"/>
      </w:pPr>
      <w:bookmarkStart w:id="223" w:name="_Toc129010302"/>
      <w:r>
        <w:t>楼面模板横肋计算</w:t>
      </w:r>
      <w:bookmarkEnd w:id="223"/>
    </w:p>
    <w:p>
      <w:pPr>
        <w:pStyle w:val="4"/>
        <w:spacing w:before="120" w:after="120"/>
      </w:pPr>
      <w:bookmarkStart w:id="224" w:name="_Toc129010303"/>
      <w:r>
        <w:rPr>
          <w:rFonts w:hint="eastAsia"/>
        </w:rPr>
        <w:t>楼面模板边框计算</w:t>
      </w:r>
      <w:bookmarkEnd w:id="224"/>
    </w:p>
    <w:p>
      <w:pPr>
        <w:pStyle w:val="4"/>
        <w:spacing w:before="120" w:after="120"/>
      </w:pPr>
      <w:bookmarkStart w:id="225" w:name="_Toc129010304"/>
      <w:r>
        <w:t>楼面铝梁计算</w:t>
      </w:r>
      <w:bookmarkEnd w:id="225"/>
    </w:p>
    <w:p>
      <w:pPr>
        <w:pStyle w:val="4"/>
        <w:spacing w:before="120" w:after="120"/>
      </w:pPr>
      <w:bookmarkStart w:id="226" w:name="_Toc129010305"/>
      <w:r>
        <w:t>楼面铝梁快拆锁条计算</w:t>
      </w:r>
      <w:bookmarkEnd w:id="226"/>
    </w:p>
    <w:p>
      <w:pPr>
        <w:pStyle w:val="4"/>
        <w:spacing w:before="120" w:after="120"/>
      </w:pPr>
      <w:bookmarkStart w:id="227" w:name="_Toc129010306"/>
      <w:r>
        <w:t>楼面支撑计算</w:t>
      </w:r>
      <w:bookmarkEnd w:id="227"/>
    </w:p>
    <w:p>
      <w:pPr>
        <w:pStyle w:val="3"/>
        <w:spacing w:before="120" w:after="120"/>
      </w:pPr>
      <w:bookmarkStart w:id="228" w:name="_Toc129010307"/>
      <w:r>
        <w:rPr>
          <w:rFonts w:hint="eastAsia"/>
        </w:rPr>
        <w:t>梁底模板</w:t>
      </w:r>
      <w:bookmarkEnd w:id="216"/>
      <w:bookmarkEnd w:id="217"/>
      <w:bookmarkEnd w:id="218"/>
      <w:bookmarkEnd w:id="219"/>
      <w:r>
        <w:rPr>
          <w:rFonts w:hint="eastAsia"/>
        </w:rPr>
        <w:t>计算</w:t>
      </w:r>
      <w:bookmarkEnd w:id="228"/>
    </w:p>
    <w:p>
      <w:pPr>
        <w:pStyle w:val="4"/>
        <w:spacing w:before="120" w:after="120"/>
      </w:pPr>
      <w:bookmarkStart w:id="229" w:name="_Toc120021116"/>
      <w:bookmarkStart w:id="230" w:name="_Toc121230011"/>
      <w:bookmarkStart w:id="231" w:name="_Toc129010308"/>
      <w:bookmarkStart w:id="232" w:name="_Toc121230400"/>
      <w:bookmarkStart w:id="233" w:name="_Toc121292662"/>
      <w:r>
        <w:rPr>
          <w:rFonts w:hint="eastAsia"/>
        </w:rPr>
        <w:t>梁底模板标准荷载值计算</w:t>
      </w:r>
      <w:bookmarkEnd w:id="229"/>
      <w:bookmarkEnd w:id="230"/>
      <w:bookmarkEnd w:id="231"/>
      <w:bookmarkEnd w:id="232"/>
      <w:bookmarkEnd w:id="233"/>
    </w:p>
    <w:p>
      <w:pPr>
        <w:pStyle w:val="4"/>
        <w:spacing w:before="120" w:after="120"/>
      </w:pPr>
      <w:bookmarkStart w:id="234" w:name="_Toc121230401"/>
      <w:bookmarkStart w:id="235" w:name="_Toc121230012"/>
      <w:bookmarkStart w:id="236" w:name="_Toc121292663"/>
      <w:bookmarkStart w:id="237" w:name="_Toc129010309"/>
      <w:bookmarkStart w:id="238" w:name="_Toc120021117"/>
      <w:r>
        <w:rPr>
          <w:rFonts w:hint="eastAsia"/>
        </w:rPr>
        <w:t>梁底模板面板计算</w:t>
      </w:r>
      <w:bookmarkEnd w:id="234"/>
      <w:bookmarkEnd w:id="235"/>
      <w:bookmarkEnd w:id="236"/>
      <w:bookmarkEnd w:id="237"/>
      <w:bookmarkEnd w:id="238"/>
    </w:p>
    <w:p>
      <w:pPr>
        <w:pStyle w:val="4"/>
        <w:spacing w:before="120" w:after="120"/>
      </w:pPr>
      <w:bookmarkStart w:id="239" w:name="_Toc121292664"/>
      <w:bookmarkStart w:id="240" w:name="_Toc121230402"/>
      <w:bookmarkStart w:id="241" w:name="_Toc120021118"/>
      <w:bookmarkStart w:id="242" w:name="_Toc121230013"/>
      <w:bookmarkStart w:id="243" w:name="_Toc129010310"/>
      <w:r>
        <w:rPr>
          <w:rFonts w:hint="eastAsia"/>
        </w:rPr>
        <w:t>梁底模板纵肋计算</w:t>
      </w:r>
      <w:bookmarkEnd w:id="239"/>
      <w:bookmarkEnd w:id="240"/>
      <w:bookmarkEnd w:id="241"/>
      <w:bookmarkEnd w:id="242"/>
      <w:bookmarkEnd w:id="243"/>
    </w:p>
    <w:p>
      <w:pPr>
        <w:pStyle w:val="4"/>
        <w:spacing w:before="120" w:after="120"/>
      </w:pPr>
      <w:bookmarkStart w:id="244" w:name="_Toc121292665"/>
      <w:bookmarkStart w:id="245" w:name="_Toc121230403"/>
      <w:bookmarkStart w:id="246" w:name="_Toc120021119"/>
      <w:bookmarkStart w:id="247" w:name="_Toc121230014"/>
      <w:bookmarkStart w:id="248" w:name="_Toc129010311"/>
      <w:r>
        <w:rPr>
          <w:rFonts w:hint="eastAsia"/>
        </w:rPr>
        <w:t>梁底</w:t>
      </w:r>
      <w:r>
        <w:t>模板横肋计算</w:t>
      </w:r>
      <w:bookmarkEnd w:id="244"/>
      <w:bookmarkEnd w:id="245"/>
      <w:bookmarkEnd w:id="246"/>
      <w:bookmarkEnd w:id="247"/>
      <w:bookmarkEnd w:id="248"/>
    </w:p>
    <w:p>
      <w:pPr>
        <w:pStyle w:val="4"/>
        <w:spacing w:before="120" w:after="120"/>
      </w:pPr>
      <w:bookmarkStart w:id="249" w:name="_Toc121292666"/>
      <w:bookmarkStart w:id="250" w:name="_Toc129010312"/>
      <w:bookmarkStart w:id="251" w:name="_Toc120021120"/>
      <w:bookmarkStart w:id="252" w:name="_Toc121230404"/>
      <w:bookmarkStart w:id="253" w:name="_Toc121230015"/>
      <w:r>
        <w:rPr>
          <w:rFonts w:hint="eastAsia"/>
        </w:rPr>
        <w:t>梁底模板边框计算</w:t>
      </w:r>
      <w:bookmarkEnd w:id="249"/>
      <w:bookmarkEnd w:id="250"/>
      <w:bookmarkEnd w:id="251"/>
      <w:bookmarkEnd w:id="252"/>
      <w:bookmarkEnd w:id="253"/>
    </w:p>
    <w:p>
      <w:pPr>
        <w:pStyle w:val="4"/>
        <w:spacing w:before="120" w:after="120"/>
      </w:pPr>
      <w:bookmarkStart w:id="254" w:name="_Toc121230407"/>
      <w:bookmarkStart w:id="255" w:name="_Toc121230018"/>
      <w:bookmarkStart w:id="256" w:name="_Toc129010313"/>
      <w:bookmarkStart w:id="257" w:name="_Toc120021123"/>
      <w:bookmarkStart w:id="258" w:name="_Toc121292669"/>
      <w:r>
        <w:rPr>
          <w:rFonts w:hint="eastAsia"/>
        </w:rPr>
        <w:t>梁底</w:t>
      </w:r>
      <w:r>
        <w:t>支撑计算</w:t>
      </w:r>
      <w:bookmarkEnd w:id="254"/>
      <w:bookmarkEnd w:id="255"/>
      <w:bookmarkEnd w:id="256"/>
      <w:bookmarkEnd w:id="257"/>
      <w:bookmarkEnd w:id="258"/>
    </w:p>
    <w:p>
      <w:pPr>
        <w:pStyle w:val="3"/>
        <w:spacing w:before="120" w:after="120"/>
      </w:pPr>
      <w:bookmarkStart w:id="259" w:name="_Toc120021124"/>
      <w:bookmarkStart w:id="260" w:name="_Toc121292670"/>
      <w:bookmarkStart w:id="261" w:name="_Toc121230019"/>
      <w:bookmarkStart w:id="262" w:name="_Toc121230408"/>
      <w:bookmarkStart w:id="263" w:name="_Toc129010314"/>
      <w:r>
        <w:t>墙柱模板计算</w:t>
      </w:r>
      <w:bookmarkEnd w:id="259"/>
      <w:bookmarkEnd w:id="260"/>
      <w:bookmarkEnd w:id="261"/>
      <w:bookmarkEnd w:id="262"/>
      <w:bookmarkEnd w:id="263"/>
    </w:p>
    <w:p>
      <w:pPr>
        <w:pStyle w:val="4"/>
        <w:spacing w:before="120" w:after="120"/>
      </w:pPr>
      <w:bookmarkStart w:id="264" w:name="_Toc121230409"/>
      <w:bookmarkStart w:id="265" w:name="_Toc129010315"/>
      <w:bookmarkStart w:id="266" w:name="_Toc121230020"/>
      <w:bookmarkStart w:id="267" w:name="_Toc120021125"/>
      <w:bookmarkStart w:id="268" w:name="_Toc121292671"/>
      <w:r>
        <w:t>墙模板标准荷载值计算</w:t>
      </w:r>
      <w:bookmarkEnd w:id="264"/>
      <w:bookmarkEnd w:id="265"/>
      <w:bookmarkEnd w:id="266"/>
      <w:bookmarkEnd w:id="267"/>
      <w:bookmarkEnd w:id="268"/>
    </w:p>
    <w:p>
      <w:pPr>
        <w:pStyle w:val="4"/>
        <w:spacing w:before="120" w:after="120"/>
      </w:pPr>
      <w:bookmarkStart w:id="269" w:name="_Toc121230410"/>
      <w:bookmarkStart w:id="270" w:name="_Toc129010316"/>
      <w:bookmarkStart w:id="271" w:name="_Toc121292672"/>
      <w:bookmarkStart w:id="272" w:name="_Toc120021126"/>
      <w:bookmarkStart w:id="273" w:name="_Toc121230021"/>
      <w:r>
        <w:t>墙柱模板面板计算</w:t>
      </w:r>
      <w:bookmarkEnd w:id="269"/>
      <w:bookmarkEnd w:id="270"/>
      <w:bookmarkEnd w:id="271"/>
      <w:bookmarkEnd w:id="272"/>
      <w:bookmarkEnd w:id="273"/>
    </w:p>
    <w:p>
      <w:pPr>
        <w:pStyle w:val="4"/>
        <w:spacing w:before="120" w:after="120"/>
      </w:pPr>
      <w:bookmarkStart w:id="274" w:name="_Toc129010317"/>
      <w:bookmarkStart w:id="275" w:name="_Toc120021127"/>
      <w:bookmarkStart w:id="276" w:name="_Toc121230411"/>
      <w:bookmarkStart w:id="277" w:name="_Toc121292673"/>
      <w:bookmarkStart w:id="278" w:name="_Toc121230022"/>
      <w:r>
        <w:t>墙柱模板纵肋计算</w:t>
      </w:r>
      <w:bookmarkEnd w:id="274"/>
      <w:bookmarkEnd w:id="275"/>
      <w:bookmarkEnd w:id="276"/>
      <w:bookmarkEnd w:id="277"/>
      <w:bookmarkEnd w:id="278"/>
    </w:p>
    <w:p>
      <w:pPr>
        <w:pStyle w:val="4"/>
        <w:spacing w:before="120" w:after="120"/>
      </w:pPr>
      <w:bookmarkStart w:id="279" w:name="_Toc121292674"/>
      <w:bookmarkStart w:id="280" w:name="_Toc121230412"/>
      <w:bookmarkStart w:id="281" w:name="_Toc120021128"/>
      <w:bookmarkStart w:id="282" w:name="_Toc121230023"/>
      <w:bookmarkStart w:id="283" w:name="_Toc129010318"/>
      <w:r>
        <w:t>墙柱模板横肋计算</w:t>
      </w:r>
      <w:bookmarkEnd w:id="279"/>
      <w:bookmarkEnd w:id="280"/>
      <w:bookmarkEnd w:id="281"/>
      <w:bookmarkEnd w:id="282"/>
      <w:bookmarkEnd w:id="283"/>
    </w:p>
    <w:p>
      <w:pPr>
        <w:pStyle w:val="4"/>
        <w:spacing w:before="120" w:after="120"/>
      </w:pPr>
      <w:bookmarkStart w:id="284" w:name="_Toc120021129"/>
      <w:bookmarkStart w:id="285" w:name="_Toc121292675"/>
      <w:bookmarkStart w:id="286" w:name="_Toc121230413"/>
      <w:bookmarkStart w:id="287" w:name="_Toc129010319"/>
      <w:bookmarkStart w:id="288" w:name="_Toc121230024"/>
      <w:r>
        <w:t>墙柱模板边框计算</w:t>
      </w:r>
      <w:bookmarkEnd w:id="284"/>
      <w:bookmarkEnd w:id="285"/>
      <w:bookmarkEnd w:id="286"/>
      <w:bookmarkEnd w:id="287"/>
      <w:bookmarkEnd w:id="288"/>
    </w:p>
    <w:p>
      <w:pPr>
        <w:pStyle w:val="4"/>
        <w:spacing w:before="120" w:after="120"/>
      </w:pPr>
      <w:bookmarkStart w:id="289" w:name="_Toc121230025"/>
      <w:bookmarkStart w:id="290" w:name="_Toc121230414"/>
      <w:bookmarkStart w:id="291" w:name="_Toc129010320"/>
      <w:bookmarkStart w:id="292" w:name="_Toc120021130"/>
      <w:bookmarkStart w:id="293" w:name="_Toc121292676"/>
      <w:r>
        <w:t>墙柱背楞计算</w:t>
      </w:r>
      <w:bookmarkEnd w:id="289"/>
      <w:bookmarkEnd w:id="290"/>
      <w:bookmarkEnd w:id="291"/>
      <w:bookmarkEnd w:id="292"/>
      <w:bookmarkEnd w:id="293"/>
    </w:p>
    <w:p>
      <w:pPr>
        <w:pStyle w:val="4"/>
        <w:spacing w:before="120" w:after="120"/>
      </w:pPr>
      <w:bookmarkStart w:id="294" w:name="_Toc121230026"/>
      <w:bookmarkStart w:id="295" w:name="_Toc121230415"/>
      <w:bookmarkStart w:id="296" w:name="_Toc129010321"/>
      <w:bookmarkStart w:id="297" w:name="_Toc121292677"/>
      <w:r>
        <w:rPr>
          <w:rFonts w:hint="eastAsia"/>
        </w:rPr>
        <w:t>背楞截面特性：</w:t>
      </w:r>
      <w:bookmarkEnd w:id="294"/>
      <w:bookmarkEnd w:id="295"/>
      <w:bookmarkEnd w:id="296"/>
      <w:bookmarkEnd w:id="297"/>
    </w:p>
    <w:p>
      <w:pPr>
        <w:pStyle w:val="4"/>
        <w:spacing w:before="120" w:after="120"/>
      </w:pPr>
      <w:bookmarkStart w:id="298" w:name="_Toc121230416"/>
      <w:bookmarkStart w:id="299" w:name="_Toc121292678"/>
      <w:bookmarkStart w:id="300" w:name="_Toc120021131"/>
      <w:bookmarkStart w:id="301" w:name="_Toc121230027"/>
      <w:bookmarkStart w:id="302" w:name="_Toc129010322"/>
      <w:r>
        <w:t>墙柱对拉螺杆</w:t>
      </w:r>
      <w:bookmarkStart w:id="303" w:name="_GoBack"/>
      <w:bookmarkEnd w:id="303"/>
      <w:r>
        <w:t>计算</w:t>
      </w:r>
      <w:bookmarkEnd w:id="298"/>
      <w:bookmarkEnd w:id="299"/>
      <w:bookmarkEnd w:id="300"/>
      <w:bookmarkEnd w:id="301"/>
      <w:bookmarkEnd w:id="302"/>
    </w:p>
    <w:sectPr>
      <w:headerReference r:id="rId7" w:type="default"/>
      <w:footerReference r:id="rId8" w:type="default"/>
      <w:pgSz w:w="11906" w:h="16838"/>
      <w:pgMar w:top="1418" w:right="1418" w:bottom="1418" w:left="1418" w:header="851" w:footer="992" w:gutter="0"/>
      <w:pgNumType w:start="1"/>
      <w:cols w:space="720" w:num="1"/>
      <w:docGrid w:linePitch="326"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35">
      <wne:acd wne:acdName="acd4"/>
    </wne:keymap>
    <wne:keymap wne:kcmPrimary="0436">
      <wne:acd wne:acdName="acd5"/>
    </wne:keymap>
    <wne:keymap wne:kcmPrimary="04DE">
      <wne:acd wne:acdName="acd6"/>
    </wne:keymap>
  </wne:keymaps>
  <wne:acds>
    <wne:acd wne:argValue="AgBLAFMA4Ho=" wne:acdName="acd0" wne:fciIndexBasedOn="0065"/>
    <wne:acd wne:argValue="AgBLAFMAgoI=" wne:acdName="acd1" wne:fciIndexBasedOn="0065"/>
    <wne:acd wne:argValue="AgBLAFMAYWc=" wne:acdName="acd2" wne:fciIndexBasedOn="0065"/>
    <wne:acd wne:argValue="AgBLAFMAPms=" wne:acdName="acd3" wne:fciIndexBasedOn="0065"/>
    <wne:acd wne:argValue="AgBLAFMAaIg0WQ==" wne:acdName="acd4" wne:fciIndexBasedOn="0065"/>
    <wne:acd wne:argValue="AgBLAFMAaIg8aA==" wne:acdName="acd5" wne:fciIndexBasedOn="0065"/>
    <wne:acd wne:argValue="AgBLAFMAY2uHZQ==" wne:acdName="acd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 w:name="MS Mincho">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jc w:val="center"/>
    </w:pPr>
    <w:r>
      <w:rPr>
        <w:sz w:val="21"/>
        <w:szCs w:val="21"/>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87630</wp:posOffset>
              </wp:positionV>
              <wp:extent cx="1293495" cy="405130"/>
              <wp:effectExtent l="0" t="0" r="1905"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293495" cy="405130"/>
                      </a:xfrm>
                      <a:prstGeom prst="rect">
                        <a:avLst/>
                      </a:prstGeom>
                      <a:solidFill>
                        <a:srgbClr val="FFFFFF"/>
                      </a:solidFill>
                      <a:ln w="9525">
                        <a:noFill/>
                        <a:miter lim="800000"/>
                      </a:ln>
                    </wps:spPr>
                    <wps:txbx>
                      <w:txbxContent>
                        <w:p>
                          <w:pPr>
                            <w:ind w:firstLine="480"/>
                          </w:pPr>
                          <w:r>
                            <w:t>第</w:t>
                          </w:r>
                          <w:r>
                            <w:fldChar w:fldCharType="begin"/>
                          </w:r>
                          <w:r>
                            <w:instrText xml:space="preserve">PAGE   \* MERGEFORMAT</w:instrText>
                          </w:r>
                          <w:r>
                            <w:fldChar w:fldCharType="separate"/>
                          </w:r>
                          <w:r>
                            <w:rPr>
                              <w:lang w:val="zh-CN"/>
                            </w:rPr>
                            <w:t>1</w:t>
                          </w:r>
                          <w:r>
                            <w:fldChar w:fldCharType="end"/>
                          </w:r>
                          <w:r>
                            <w:t>页</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6.9pt;height:31.9pt;width:101.85pt;mso-position-horizontal:center;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nlpdBNQAAAAGAQAADwAAAAAAAAABACAAAAAiAAAAZHJzL2Rvd25y&#10;ZXYueG1sUEsBAhQAFAAAAAgAh07iQAX2Slw7AgAAVAQAAA4AAAAAAAAAAQAgAAAAIwEAAGRycy9l&#10;Mm9Eb2MueG1sUEsFBgAAAAAGAAYAWQEAANAFAAAAAA==&#10;">
              <v:fill on="t" focussize="0,0"/>
              <v:stroke on="f" miterlimit="8" joinstyle="miter"/>
              <v:imagedata o:title=""/>
              <o:lock v:ext="edit" aspectratio="f"/>
              <v:textbox>
                <w:txbxContent>
                  <w:p>
                    <w:pPr>
                      <w:ind w:firstLine="480"/>
                    </w:pPr>
                    <w:r>
                      <w:t>第</w:t>
                    </w:r>
                    <w:r>
                      <w:fldChar w:fldCharType="begin"/>
                    </w:r>
                    <w:r>
                      <w:instrText xml:space="preserve">PAGE   \* MERGEFORMAT</w:instrText>
                    </w:r>
                    <w:r>
                      <w:fldChar w:fldCharType="separate"/>
                    </w:r>
                    <w:r>
                      <w:rPr>
                        <w:lang w:val="zh-CN"/>
                      </w:rPr>
                      <w:t>1</w:t>
                    </w:r>
                    <w:r>
                      <w:fldChar w:fldCharType="end"/>
                    </w:r>
                    <w:r>
                      <w:t>页</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r>
      <w:ptab w:relativeTo="margin" w:alignment="center"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r>
      <w:ptab w:relativeTo="margin" w:alignment="center" w:leader="none"/>
    </w:r>
    <w:r>
      <w:ptab w:relativeTo="margin" w:alignment="right" w:leader="none"/>
    </w:r>
    <w:r>
      <w:rPr>
        <w:rFonts w:hint="eastAsia"/>
      </w:rPr>
      <w:t>铝合金模板工程专项施工方案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E4019D"/>
    <w:multiLevelType w:val="multilevel"/>
    <w:tmpl w:val="50E4019D"/>
    <w:lvl w:ilvl="0" w:tentative="0">
      <w:start w:val="1"/>
      <w:numFmt w:val="chineseCountingThousand"/>
      <w:pStyle w:val="2"/>
      <w:suff w:val="nothing"/>
      <w:lvlText w:val="第%1章  "/>
      <w:lvlJc w:val="left"/>
      <w:pPr>
        <w:ind w:left="0" w:firstLine="0"/>
      </w:pPr>
      <w:rPr>
        <w:rFonts w:hint="eastAsia"/>
      </w:rPr>
    </w:lvl>
    <w:lvl w:ilvl="1" w:tentative="0">
      <w:start w:val="1"/>
      <w:numFmt w:val="decimal"/>
      <w:pStyle w:val="3"/>
      <w:isLgl/>
      <w:suff w:val="nothing"/>
      <w:lvlText w:val="%1.%2  "/>
      <w:lvlJc w:val="left"/>
      <w:pPr>
        <w:ind w:left="0" w:firstLine="0"/>
      </w:pPr>
      <w:rPr>
        <w:rFonts w:hint="eastAsia"/>
      </w:rPr>
    </w:lvl>
    <w:lvl w:ilvl="2" w:tentative="0">
      <w:start w:val="1"/>
      <w:numFmt w:val="decimal"/>
      <w:pStyle w:val="4"/>
      <w:isLgl/>
      <w:suff w:val="nothing"/>
      <w:lvlText w:val="%1.%2.%3  "/>
      <w:lvlJc w:val="left"/>
      <w:pPr>
        <w:ind w:left="0" w:firstLine="0"/>
      </w:pPr>
      <w:rPr>
        <w:rFonts w:hint="eastAsia"/>
      </w:rPr>
    </w:lvl>
    <w:lvl w:ilvl="3" w:tentative="0">
      <w:start w:val="1"/>
      <w:numFmt w:val="decimal"/>
      <w:pStyle w:val="5"/>
      <w:isLgl/>
      <w:suff w:val="nothing"/>
      <w:lvlText w:val="%1.%2.%3.%4  "/>
      <w:lvlJc w:val="left"/>
      <w:pPr>
        <w:ind w:left="0" w:firstLine="0"/>
      </w:pPr>
      <w:rPr>
        <w:rFonts w:hint="eastAsia"/>
      </w:rPr>
    </w:lvl>
    <w:lvl w:ilvl="4" w:tentative="0">
      <w:start w:val="1"/>
      <w:numFmt w:val="decimal"/>
      <w:pStyle w:val="6"/>
      <w:suff w:val="nothing"/>
      <w:lvlText w:val="    %5） "/>
      <w:lvlJc w:val="left"/>
      <w:pPr>
        <w:ind w:left="0" w:firstLine="0"/>
      </w:pPr>
      <w:rPr>
        <w:rFonts w:hint="eastAsia"/>
      </w:rPr>
    </w:lvl>
    <w:lvl w:ilvl="5" w:tentative="0">
      <w:start w:val="1"/>
      <w:numFmt w:val="decimal"/>
      <w:pStyle w:val="7"/>
      <w:suff w:val="nothing"/>
      <w:lvlText w:val="    （%6） "/>
      <w:lvlJc w:val="left"/>
      <w:pPr>
        <w:ind w:left="0" w:firstLine="0"/>
      </w:pPr>
      <w:rPr>
        <w:rFonts w:hint="eastAsia"/>
      </w:rPr>
    </w:lvl>
    <w:lvl w:ilvl="6" w:tentative="0">
      <w:start w:val="1"/>
      <w:numFmt w:val="upperLetter"/>
      <w:pStyle w:val="8"/>
      <w:suff w:val="nothing"/>
      <w:lvlText w:val="    %7 "/>
      <w:lvlJc w:val="left"/>
      <w:pPr>
        <w:ind w:left="0" w:firstLine="0"/>
      </w:pPr>
      <w:rPr>
        <w:rFonts w:hint="eastAsia"/>
      </w:rPr>
    </w:lvl>
    <w:lvl w:ilvl="7" w:tentative="0">
      <w:start w:val="1"/>
      <w:numFmt w:val="lowerLetter"/>
      <w:suff w:val="nothing"/>
      <w:lvlText w:val="    %8 "/>
      <w:lvlJc w:val="left"/>
      <w:pPr>
        <w:ind w:left="0" w:firstLine="0"/>
      </w:pPr>
      <w:rPr>
        <w:rFonts w:hint="eastAsia"/>
      </w:rPr>
    </w:lvl>
    <w:lvl w:ilvl="8" w:tentative="0">
      <w:start w:val="1"/>
      <w:numFmt w:val="lowerRoman"/>
      <w:suff w:val="nothing"/>
      <w:lvlText w:val="      %9 "/>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doNotCompress"/>
  <w:footnotePr>
    <w:footnote w:id="0"/>
    <w:footnote w:id="1"/>
  </w:footnotePr>
  <w:endnotePr>
    <w:endnote w:id="0"/>
    <w:endnote w:id="1"/>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NhNGIyNzI3ZWE5MTllOWU4NzBkYTQxMGE4MDJmMTUifQ=="/>
  </w:docVars>
  <w:rsids>
    <w:rsidRoot w:val="00A22D90"/>
    <w:rsid w:val="0000126B"/>
    <w:rsid w:val="0000259F"/>
    <w:rsid w:val="0000531A"/>
    <w:rsid w:val="0000553D"/>
    <w:rsid w:val="000071DD"/>
    <w:rsid w:val="00007C7A"/>
    <w:rsid w:val="00010521"/>
    <w:rsid w:val="00011AB2"/>
    <w:rsid w:val="00013591"/>
    <w:rsid w:val="00013BC4"/>
    <w:rsid w:val="000141D5"/>
    <w:rsid w:val="0001441F"/>
    <w:rsid w:val="00016140"/>
    <w:rsid w:val="00016E70"/>
    <w:rsid w:val="00017B1B"/>
    <w:rsid w:val="0002049C"/>
    <w:rsid w:val="00022445"/>
    <w:rsid w:val="00022780"/>
    <w:rsid w:val="00023F24"/>
    <w:rsid w:val="00024BC1"/>
    <w:rsid w:val="000265E3"/>
    <w:rsid w:val="000266D4"/>
    <w:rsid w:val="00027AE8"/>
    <w:rsid w:val="00027C99"/>
    <w:rsid w:val="00030E64"/>
    <w:rsid w:val="000317D2"/>
    <w:rsid w:val="000326AE"/>
    <w:rsid w:val="000338F7"/>
    <w:rsid w:val="00035004"/>
    <w:rsid w:val="000358DD"/>
    <w:rsid w:val="000359EA"/>
    <w:rsid w:val="00035EA4"/>
    <w:rsid w:val="00035ED3"/>
    <w:rsid w:val="00037F4F"/>
    <w:rsid w:val="00040FA0"/>
    <w:rsid w:val="000419E5"/>
    <w:rsid w:val="000438A1"/>
    <w:rsid w:val="00043AD8"/>
    <w:rsid w:val="000449CA"/>
    <w:rsid w:val="00045942"/>
    <w:rsid w:val="000467CF"/>
    <w:rsid w:val="00047327"/>
    <w:rsid w:val="000475AB"/>
    <w:rsid w:val="00047C39"/>
    <w:rsid w:val="0005078C"/>
    <w:rsid w:val="00051631"/>
    <w:rsid w:val="000516E1"/>
    <w:rsid w:val="00051BBB"/>
    <w:rsid w:val="00051C2D"/>
    <w:rsid w:val="00051EF8"/>
    <w:rsid w:val="00052615"/>
    <w:rsid w:val="000537B9"/>
    <w:rsid w:val="000540E8"/>
    <w:rsid w:val="0005568B"/>
    <w:rsid w:val="00055B92"/>
    <w:rsid w:val="00055DFD"/>
    <w:rsid w:val="0005611F"/>
    <w:rsid w:val="00056219"/>
    <w:rsid w:val="0005673C"/>
    <w:rsid w:val="000569DD"/>
    <w:rsid w:val="00057AD6"/>
    <w:rsid w:val="000603D8"/>
    <w:rsid w:val="00061898"/>
    <w:rsid w:val="00061D85"/>
    <w:rsid w:val="0006313A"/>
    <w:rsid w:val="00064BE8"/>
    <w:rsid w:val="00065321"/>
    <w:rsid w:val="00065EEC"/>
    <w:rsid w:val="00065F6D"/>
    <w:rsid w:val="000661A0"/>
    <w:rsid w:val="000677A6"/>
    <w:rsid w:val="00071B0B"/>
    <w:rsid w:val="000720D2"/>
    <w:rsid w:val="000728D7"/>
    <w:rsid w:val="000733D0"/>
    <w:rsid w:val="00074487"/>
    <w:rsid w:val="000746C6"/>
    <w:rsid w:val="00075239"/>
    <w:rsid w:val="00075E26"/>
    <w:rsid w:val="00077289"/>
    <w:rsid w:val="000773F3"/>
    <w:rsid w:val="000800AA"/>
    <w:rsid w:val="0008465E"/>
    <w:rsid w:val="0008513E"/>
    <w:rsid w:val="0008541C"/>
    <w:rsid w:val="000857B0"/>
    <w:rsid w:val="000857C2"/>
    <w:rsid w:val="00086A32"/>
    <w:rsid w:val="00086FF2"/>
    <w:rsid w:val="0008702E"/>
    <w:rsid w:val="000915DE"/>
    <w:rsid w:val="00091C91"/>
    <w:rsid w:val="00092ABC"/>
    <w:rsid w:val="00094465"/>
    <w:rsid w:val="000967FC"/>
    <w:rsid w:val="00096ED9"/>
    <w:rsid w:val="00097ABB"/>
    <w:rsid w:val="000A2279"/>
    <w:rsid w:val="000A26FA"/>
    <w:rsid w:val="000A2C86"/>
    <w:rsid w:val="000A3927"/>
    <w:rsid w:val="000A408E"/>
    <w:rsid w:val="000A4972"/>
    <w:rsid w:val="000A4B4E"/>
    <w:rsid w:val="000A54F8"/>
    <w:rsid w:val="000A57C5"/>
    <w:rsid w:val="000A5866"/>
    <w:rsid w:val="000A5E88"/>
    <w:rsid w:val="000B16B0"/>
    <w:rsid w:val="000B1A09"/>
    <w:rsid w:val="000B1CEF"/>
    <w:rsid w:val="000B2452"/>
    <w:rsid w:val="000B3AFC"/>
    <w:rsid w:val="000B4661"/>
    <w:rsid w:val="000B587B"/>
    <w:rsid w:val="000B766A"/>
    <w:rsid w:val="000B771E"/>
    <w:rsid w:val="000B791B"/>
    <w:rsid w:val="000C00D5"/>
    <w:rsid w:val="000C05CE"/>
    <w:rsid w:val="000C063F"/>
    <w:rsid w:val="000C0943"/>
    <w:rsid w:val="000C11F5"/>
    <w:rsid w:val="000C1D92"/>
    <w:rsid w:val="000C3DF7"/>
    <w:rsid w:val="000C3FB4"/>
    <w:rsid w:val="000C648F"/>
    <w:rsid w:val="000C725A"/>
    <w:rsid w:val="000D0136"/>
    <w:rsid w:val="000D198A"/>
    <w:rsid w:val="000D1DDA"/>
    <w:rsid w:val="000D2B37"/>
    <w:rsid w:val="000D2E94"/>
    <w:rsid w:val="000D5594"/>
    <w:rsid w:val="000D5A08"/>
    <w:rsid w:val="000D6EA6"/>
    <w:rsid w:val="000E195C"/>
    <w:rsid w:val="000E1CC1"/>
    <w:rsid w:val="000E4157"/>
    <w:rsid w:val="000E4E7E"/>
    <w:rsid w:val="000E75F5"/>
    <w:rsid w:val="000E7A54"/>
    <w:rsid w:val="000E7A9D"/>
    <w:rsid w:val="000E7C47"/>
    <w:rsid w:val="000E7CDB"/>
    <w:rsid w:val="000F11C2"/>
    <w:rsid w:val="000F2370"/>
    <w:rsid w:val="000F2A50"/>
    <w:rsid w:val="000F2A69"/>
    <w:rsid w:val="000F2B9D"/>
    <w:rsid w:val="000F59B7"/>
    <w:rsid w:val="000F5BAC"/>
    <w:rsid w:val="000F5BB1"/>
    <w:rsid w:val="000F5BF2"/>
    <w:rsid w:val="00101541"/>
    <w:rsid w:val="00101A0E"/>
    <w:rsid w:val="00102922"/>
    <w:rsid w:val="00102989"/>
    <w:rsid w:val="0010320B"/>
    <w:rsid w:val="001033BB"/>
    <w:rsid w:val="00104B4D"/>
    <w:rsid w:val="00105715"/>
    <w:rsid w:val="00105F3D"/>
    <w:rsid w:val="00107180"/>
    <w:rsid w:val="00107FA3"/>
    <w:rsid w:val="0011061B"/>
    <w:rsid w:val="001116F1"/>
    <w:rsid w:val="00113601"/>
    <w:rsid w:val="00113779"/>
    <w:rsid w:val="001138DB"/>
    <w:rsid w:val="00113F7C"/>
    <w:rsid w:val="00114B14"/>
    <w:rsid w:val="00114D0F"/>
    <w:rsid w:val="0011545F"/>
    <w:rsid w:val="0011694A"/>
    <w:rsid w:val="00116A1B"/>
    <w:rsid w:val="001170AC"/>
    <w:rsid w:val="00121691"/>
    <w:rsid w:val="00123076"/>
    <w:rsid w:val="00123ACF"/>
    <w:rsid w:val="00124DA5"/>
    <w:rsid w:val="00125684"/>
    <w:rsid w:val="00125DFD"/>
    <w:rsid w:val="0012688A"/>
    <w:rsid w:val="0012702E"/>
    <w:rsid w:val="00127A9F"/>
    <w:rsid w:val="00127AF2"/>
    <w:rsid w:val="0013024F"/>
    <w:rsid w:val="00132B33"/>
    <w:rsid w:val="0013437E"/>
    <w:rsid w:val="0013491F"/>
    <w:rsid w:val="001359AC"/>
    <w:rsid w:val="00135CA0"/>
    <w:rsid w:val="00135D62"/>
    <w:rsid w:val="001362F2"/>
    <w:rsid w:val="001370F0"/>
    <w:rsid w:val="001372F4"/>
    <w:rsid w:val="00137660"/>
    <w:rsid w:val="00140632"/>
    <w:rsid w:val="00140CA5"/>
    <w:rsid w:val="00141B42"/>
    <w:rsid w:val="00141E92"/>
    <w:rsid w:val="00142349"/>
    <w:rsid w:val="001437E2"/>
    <w:rsid w:val="001445BF"/>
    <w:rsid w:val="00146E84"/>
    <w:rsid w:val="00147158"/>
    <w:rsid w:val="00151FB6"/>
    <w:rsid w:val="001535C3"/>
    <w:rsid w:val="001548C2"/>
    <w:rsid w:val="00155B6F"/>
    <w:rsid w:val="00156F03"/>
    <w:rsid w:val="0015741E"/>
    <w:rsid w:val="00160119"/>
    <w:rsid w:val="00160C18"/>
    <w:rsid w:val="00161789"/>
    <w:rsid w:val="001626B7"/>
    <w:rsid w:val="001655E0"/>
    <w:rsid w:val="0016627F"/>
    <w:rsid w:val="00166830"/>
    <w:rsid w:val="00166CBA"/>
    <w:rsid w:val="00167C8A"/>
    <w:rsid w:val="00171AD0"/>
    <w:rsid w:val="0017244A"/>
    <w:rsid w:val="001729AD"/>
    <w:rsid w:val="0017308D"/>
    <w:rsid w:val="00175075"/>
    <w:rsid w:val="00176FD1"/>
    <w:rsid w:val="00181BCF"/>
    <w:rsid w:val="00183414"/>
    <w:rsid w:val="00183B0E"/>
    <w:rsid w:val="00184B10"/>
    <w:rsid w:val="001905FC"/>
    <w:rsid w:val="00191168"/>
    <w:rsid w:val="00191B28"/>
    <w:rsid w:val="001933AC"/>
    <w:rsid w:val="00195FAD"/>
    <w:rsid w:val="0019637D"/>
    <w:rsid w:val="001964E4"/>
    <w:rsid w:val="00196A60"/>
    <w:rsid w:val="00196B76"/>
    <w:rsid w:val="00196C1D"/>
    <w:rsid w:val="00197F35"/>
    <w:rsid w:val="001A158D"/>
    <w:rsid w:val="001A2A51"/>
    <w:rsid w:val="001A5CAF"/>
    <w:rsid w:val="001A5EF3"/>
    <w:rsid w:val="001A74EE"/>
    <w:rsid w:val="001A78C6"/>
    <w:rsid w:val="001B039A"/>
    <w:rsid w:val="001B1F6A"/>
    <w:rsid w:val="001B39A4"/>
    <w:rsid w:val="001B3DFF"/>
    <w:rsid w:val="001B3EA2"/>
    <w:rsid w:val="001B53C6"/>
    <w:rsid w:val="001B593E"/>
    <w:rsid w:val="001B767F"/>
    <w:rsid w:val="001C06AF"/>
    <w:rsid w:val="001C095F"/>
    <w:rsid w:val="001C1909"/>
    <w:rsid w:val="001C1A02"/>
    <w:rsid w:val="001C3C64"/>
    <w:rsid w:val="001C3CE1"/>
    <w:rsid w:val="001C5E77"/>
    <w:rsid w:val="001C6F2B"/>
    <w:rsid w:val="001C740C"/>
    <w:rsid w:val="001C7480"/>
    <w:rsid w:val="001C789E"/>
    <w:rsid w:val="001D08F2"/>
    <w:rsid w:val="001D1416"/>
    <w:rsid w:val="001D270B"/>
    <w:rsid w:val="001D48D7"/>
    <w:rsid w:val="001D6008"/>
    <w:rsid w:val="001D77E3"/>
    <w:rsid w:val="001D7893"/>
    <w:rsid w:val="001E0A31"/>
    <w:rsid w:val="001E14A8"/>
    <w:rsid w:val="001E376A"/>
    <w:rsid w:val="001E4C5D"/>
    <w:rsid w:val="001E66D2"/>
    <w:rsid w:val="001E67B7"/>
    <w:rsid w:val="001E6C9E"/>
    <w:rsid w:val="001E7052"/>
    <w:rsid w:val="001E778B"/>
    <w:rsid w:val="001E7EBE"/>
    <w:rsid w:val="001F02BE"/>
    <w:rsid w:val="001F07EE"/>
    <w:rsid w:val="001F2607"/>
    <w:rsid w:val="001F7159"/>
    <w:rsid w:val="00200CBA"/>
    <w:rsid w:val="00201C53"/>
    <w:rsid w:val="00202813"/>
    <w:rsid w:val="002028CA"/>
    <w:rsid w:val="00203F90"/>
    <w:rsid w:val="00203FCF"/>
    <w:rsid w:val="00204791"/>
    <w:rsid w:val="00204EB0"/>
    <w:rsid w:val="0020646A"/>
    <w:rsid w:val="00206D40"/>
    <w:rsid w:val="00207B36"/>
    <w:rsid w:val="00210054"/>
    <w:rsid w:val="00210509"/>
    <w:rsid w:val="002110A6"/>
    <w:rsid w:val="002116BC"/>
    <w:rsid w:val="00211EBD"/>
    <w:rsid w:val="00212CB5"/>
    <w:rsid w:val="00212E44"/>
    <w:rsid w:val="00213BF7"/>
    <w:rsid w:val="00222165"/>
    <w:rsid w:val="00226B68"/>
    <w:rsid w:val="002304B3"/>
    <w:rsid w:val="00231DC9"/>
    <w:rsid w:val="00232F23"/>
    <w:rsid w:val="00232FA7"/>
    <w:rsid w:val="0023495B"/>
    <w:rsid w:val="00234E93"/>
    <w:rsid w:val="00240C65"/>
    <w:rsid w:val="002424FE"/>
    <w:rsid w:val="00243209"/>
    <w:rsid w:val="002448FC"/>
    <w:rsid w:val="002457F5"/>
    <w:rsid w:val="00247861"/>
    <w:rsid w:val="0025243B"/>
    <w:rsid w:val="00253280"/>
    <w:rsid w:val="00254E78"/>
    <w:rsid w:val="002560F3"/>
    <w:rsid w:val="00260BF3"/>
    <w:rsid w:val="00262278"/>
    <w:rsid w:val="0026384E"/>
    <w:rsid w:val="0026555F"/>
    <w:rsid w:val="00265E39"/>
    <w:rsid w:val="00265F24"/>
    <w:rsid w:val="00266EB7"/>
    <w:rsid w:val="00270721"/>
    <w:rsid w:val="00270C1C"/>
    <w:rsid w:val="00270F87"/>
    <w:rsid w:val="002717D4"/>
    <w:rsid w:val="002720B4"/>
    <w:rsid w:val="002731F1"/>
    <w:rsid w:val="0027331A"/>
    <w:rsid w:val="0027355A"/>
    <w:rsid w:val="002751ED"/>
    <w:rsid w:val="002772C0"/>
    <w:rsid w:val="0028071E"/>
    <w:rsid w:val="0028098C"/>
    <w:rsid w:val="00280AF0"/>
    <w:rsid w:val="0028268D"/>
    <w:rsid w:val="002832A6"/>
    <w:rsid w:val="00285431"/>
    <w:rsid w:val="00285C6A"/>
    <w:rsid w:val="00287CDD"/>
    <w:rsid w:val="00291899"/>
    <w:rsid w:val="00291F9E"/>
    <w:rsid w:val="0029334C"/>
    <w:rsid w:val="0029465B"/>
    <w:rsid w:val="00295BF6"/>
    <w:rsid w:val="00295D50"/>
    <w:rsid w:val="00296419"/>
    <w:rsid w:val="00296B1E"/>
    <w:rsid w:val="00297D88"/>
    <w:rsid w:val="002A2EE4"/>
    <w:rsid w:val="002A4024"/>
    <w:rsid w:val="002A5B80"/>
    <w:rsid w:val="002A6ABD"/>
    <w:rsid w:val="002A7611"/>
    <w:rsid w:val="002A7C4B"/>
    <w:rsid w:val="002B01BB"/>
    <w:rsid w:val="002B21C4"/>
    <w:rsid w:val="002B29C4"/>
    <w:rsid w:val="002B2E87"/>
    <w:rsid w:val="002B317B"/>
    <w:rsid w:val="002B3FA7"/>
    <w:rsid w:val="002B5E1E"/>
    <w:rsid w:val="002B6AA4"/>
    <w:rsid w:val="002C0574"/>
    <w:rsid w:val="002C07B1"/>
    <w:rsid w:val="002C1395"/>
    <w:rsid w:val="002C1ACB"/>
    <w:rsid w:val="002C27F6"/>
    <w:rsid w:val="002C2BA3"/>
    <w:rsid w:val="002C30B9"/>
    <w:rsid w:val="002C38C6"/>
    <w:rsid w:val="002C3A7D"/>
    <w:rsid w:val="002C3AAE"/>
    <w:rsid w:val="002C3C55"/>
    <w:rsid w:val="002C4268"/>
    <w:rsid w:val="002C55C6"/>
    <w:rsid w:val="002C56E1"/>
    <w:rsid w:val="002C6B1E"/>
    <w:rsid w:val="002C742B"/>
    <w:rsid w:val="002C77AA"/>
    <w:rsid w:val="002D001B"/>
    <w:rsid w:val="002D0F73"/>
    <w:rsid w:val="002D36F9"/>
    <w:rsid w:val="002D3BBB"/>
    <w:rsid w:val="002D3EA2"/>
    <w:rsid w:val="002D4432"/>
    <w:rsid w:val="002D447C"/>
    <w:rsid w:val="002D4835"/>
    <w:rsid w:val="002D4CC6"/>
    <w:rsid w:val="002D6271"/>
    <w:rsid w:val="002D6479"/>
    <w:rsid w:val="002D66F3"/>
    <w:rsid w:val="002E1493"/>
    <w:rsid w:val="002E1B4C"/>
    <w:rsid w:val="002E2760"/>
    <w:rsid w:val="002E3095"/>
    <w:rsid w:val="002E4B92"/>
    <w:rsid w:val="002E60DA"/>
    <w:rsid w:val="002E7EC3"/>
    <w:rsid w:val="002F013C"/>
    <w:rsid w:val="002F1396"/>
    <w:rsid w:val="002F24EF"/>
    <w:rsid w:val="002F4173"/>
    <w:rsid w:val="002F533E"/>
    <w:rsid w:val="002F5567"/>
    <w:rsid w:val="002F5597"/>
    <w:rsid w:val="002F659B"/>
    <w:rsid w:val="002F75AB"/>
    <w:rsid w:val="002F7AA2"/>
    <w:rsid w:val="00301992"/>
    <w:rsid w:val="00302951"/>
    <w:rsid w:val="00302BD4"/>
    <w:rsid w:val="00303F56"/>
    <w:rsid w:val="00306349"/>
    <w:rsid w:val="00306ACC"/>
    <w:rsid w:val="00306B41"/>
    <w:rsid w:val="00306E6E"/>
    <w:rsid w:val="00306E7B"/>
    <w:rsid w:val="00307959"/>
    <w:rsid w:val="00307ECC"/>
    <w:rsid w:val="0031162C"/>
    <w:rsid w:val="00311AF4"/>
    <w:rsid w:val="00311DFC"/>
    <w:rsid w:val="00312FDA"/>
    <w:rsid w:val="003138BD"/>
    <w:rsid w:val="00313E19"/>
    <w:rsid w:val="003154CD"/>
    <w:rsid w:val="00316064"/>
    <w:rsid w:val="003164DD"/>
    <w:rsid w:val="0031654B"/>
    <w:rsid w:val="00317CD3"/>
    <w:rsid w:val="00320714"/>
    <w:rsid w:val="003232E2"/>
    <w:rsid w:val="0032464B"/>
    <w:rsid w:val="00324F84"/>
    <w:rsid w:val="00325930"/>
    <w:rsid w:val="00326375"/>
    <w:rsid w:val="0032733B"/>
    <w:rsid w:val="003307CA"/>
    <w:rsid w:val="00335DAF"/>
    <w:rsid w:val="00336DD9"/>
    <w:rsid w:val="003371A0"/>
    <w:rsid w:val="00340507"/>
    <w:rsid w:val="00342012"/>
    <w:rsid w:val="00342070"/>
    <w:rsid w:val="00343ECE"/>
    <w:rsid w:val="003445E3"/>
    <w:rsid w:val="003478A8"/>
    <w:rsid w:val="00347D4A"/>
    <w:rsid w:val="003500D2"/>
    <w:rsid w:val="003502F0"/>
    <w:rsid w:val="00351F4B"/>
    <w:rsid w:val="00352F09"/>
    <w:rsid w:val="00354709"/>
    <w:rsid w:val="00354A1B"/>
    <w:rsid w:val="00355D3B"/>
    <w:rsid w:val="00355FEF"/>
    <w:rsid w:val="00356070"/>
    <w:rsid w:val="003562B7"/>
    <w:rsid w:val="00356D5A"/>
    <w:rsid w:val="00361AAF"/>
    <w:rsid w:val="00361FEE"/>
    <w:rsid w:val="00362AAC"/>
    <w:rsid w:val="00362EB6"/>
    <w:rsid w:val="00365B7B"/>
    <w:rsid w:val="00365FBC"/>
    <w:rsid w:val="003661C1"/>
    <w:rsid w:val="00366FA6"/>
    <w:rsid w:val="003670EA"/>
    <w:rsid w:val="00367598"/>
    <w:rsid w:val="003679E6"/>
    <w:rsid w:val="00367A19"/>
    <w:rsid w:val="003719F8"/>
    <w:rsid w:val="00371CDC"/>
    <w:rsid w:val="00371FAA"/>
    <w:rsid w:val="00372447"/>
    <w:rsid w:val="00373014"/>
    <w:rsid w:val="0037412F"/>
    <w:rsid w:val="0037459E"/>
    <w:rsid w:val="0037474D"/>
    <w:rsid w:val="00374791"/>
    <w:rsid w:val="00374AD0"/>
    <w:rsid w:val="00374E9E"/>
    <w:rsid w:val="00375C7B"/>
    <w:rsid w:val="003772E1"/>
    <w:rsid w:val="003775E0"/>
    <w:rsid w:val="00377A7C"/>
    <w:rsid w:val="003806CE"/>
    <w:rsid w:val="00381965"/>
    <w:rsid w:val="003821F2"/>
    <w:rsid w:val="00382984"/>
    <w:rsid w:val="0038342B"/>
    <w:rsid w:val="00383A7C"/>
    <w:rsid w:val="00386C66"/>
    <w:rsid w:val="00386D51"/>
    <w:rsid w:val="00386E58"/>
    <w:rsid w:val="00387091"/>
    <w:rsid w:val="0038735E"/>
    <w:rsid w:val="00387BBF"/>
    <w:rsid w:val="00387C60"/>
    <w:rsid w:val="00390205"/>
    <w:rsid w:val="00390A39"/>
    <w:rsid w:val="003913D5"/>
    <w:rsid w:val="00393FAC"/>
    <w:rsid w:val="00394D62"/>
    <w:rsid w:val="00394E00"/>
    <w:rsid w:val="00396331"/>
    <w:rsid w:val="003A0228"/>
    <w:rsid w:val="003A181A"/>
    <w:rsid w:val="003A37D3"/>
    <w:rsid w:val="003A380E"/>
    <w:rsid w:val="003A3A4A"/>
    <w:rsid w:val="003A4216"/>
    <w:rsid w:val="003A4678"/>
    <w:rsid w:val="003A4FF7"/>
    <w:rsid w:val="003A50E9"/>
    <w:rsid w:val="003A585A"/>
    <w:rsid w:val="003B13F1"/>
    <w:rsid w:val="003B385D"/>
    <w:rsid w:val="003B4171"/>
    <w:rsid w:val="003B4F30"/>
    <w:rsid w:val="003B570B"/>
    <w:rsid w:val="003B68DE"/>
    <w:rsid w:val="003C01A7"/>
    <w:rsid w:val="003C4741"/>
    <w:rsid w:val="003C5387"/>
    <w:rsid w:val="003C5870"/>
    <w:rsid w:val="003C5F2F"/>
    <w:rsid w:val="003C682E"/>
    <w:rsid w:val="003D058D"/>
    <w:rsid w:val="003D0691"/>
    <w:rsid w:val="003D0F5F"/>
    <w:rsid w:val="003D1167"/>
    <w:rsid w:val="003D1B04"/>
    <w:rsid w:val="003D2392"/>
    <w:rsid w:val="003D339D"/>
    <w:rsid w:val="003D33E6"/>
    <w:rsid w:val="003D4465"/>
    <w:rsid w:val="003D4979"/>
    <w:rsid w:val="003D49EE"/>
    <w:rsid w:val="003D5267"/>
    <w:rsid w:val="003D6F8F"/>
    <w:rsid w:val="003E019A"/>
    <w:rsid w:val="003E1270"/>
    <w:rsid w:val="003E2253"/>
    <w:rsid w:val="003E29C4"/>
    <w:rsid w:val="003E2C1E"/>
    <w:rsid w:val="003E34EC"/>
    <w:rsid w:val="003E3705"/>
    <w:rsid w:val="003E3892"/>
    <w:rsid w:val="003E3A21"/>
    <w:rsid w:val="003E3ECB"/>
    <w:rsid w:val="003E4558"/>
    <w:rsid w:val="003E46B5"/>
    <w:rsid w:val="003E4CFB"/>
    <w:rsid w:val="003E554B"/>
    <w:rsid w:val="003E5BCF"/>
    <w:rsid w:val="003E775E"/>
    <w:rsid w:val="003F0C30"/>
    <w:rsid w:val="003F1A07"/>
    <w:rsid w:val="003F209B"/>
    <w:rsid w:val="003F34FD"/>
    <w:rsid w:val="003F42F9"/>
    <w:rsid w:val="003F66AA"/>
    <w:rsid w:val="003F756C"/>
    <w:rsid w:val="003F7A8C"/>
    <w:rsid w:val="00400294"/>
    <w:rsid w:val="00400E8D"/>
    <w:rsid w:val="004041B8"/>
    <w:rsid w:val="00404401"/>
    <w:rsid w:val="00404547"/>
    <w:rsid w:val="00405155"/>
    <w:rsid w:val="004054C8"/>
    <w:rsid w:val="00405865"/>
    <w:rsid w:val="00406367"/>
    <w:rsid w:val="004067EF"/>
    <w:rsid w:val="00406CEB"/>
    <w:rsid w:val="00406D5D"/>
    <w:rsid w:val="004073FF"/>
    <w:rsid w:val="0041145D"/>
    <w:rsid w:val="0041150C"/>
    <w:rsid w:val="00412032"/>
    <w:rsid w:val="00415A4E"/>
    <w:rsid w:val="004162FE"/>
    <w:rsid w:val="00417119"/>
    <w:rsid w:val="004178F1"/>
    <w:rsid w:val="004203DB"/>
    <w:rsid w:val="0042094E"/>
    <w:rsid w:val="00422333"/>
    <w:rsid w:val="00425739"/>
    <w:rsid w:val="00425E08"/>
    <w:rsid w:val="004275D9"/>
    <w:rsid w:val="004308ED"/>
    <w:rsid w:val="00430AFE"/>
    <w:rsid w:val="00431B89"/>
    <w:rsid w:val="00433CC0"/>
    <w:rsid w:val="004356BE"/>
    <w:rsid w:val="00436165"/>
    <w:rsid w:val="00437E82"/>
    <w:rsid w:val="0044024F"/>
    <w:rsid w:val="0044084B"/>
    <w:rsid w:val="004409CC"/>
    <w:rsid w:val="004430D6"/>
    <w:rsid w:val="00444497"/>
    <w:rsid w:val="00444583"/>
    <w:rsid w:val="004478AB"/>
    <w:rsid w:val="00447F75"/>
    <w:rsid w:val="00450ADB"/>
    <w:rsid w:val="00451990"/>
    <w:rsid w:val="00452A73"/>
    <w:rsid w:val="00452BB5"/>
    <w:rsid w:val="004539CD"/>
    <w:rsid w:val="0045401E"/>
    <w:rsid w:val="004544A5"/>
    <w:rsid w:val="00455410"/>
    <w:rsid w:val="00455D6D"/>
    <w:rsid w:val="00455D73"/>
    <w:rsid w:val="004623A4"/>
    <w:rsid w:val="004628AE"/>
    <w:rsid w:val="00462907"/>
    <w:rsid w:val="0046358B"/>
    <w:rsid w:val="00465743"/>
    <w:rsid w:val="00465FE7"/>
    <w:rsid w:val="004665F4"/>
    <w:rsid w:val="00466DE0"/>
    <w:rsid w:val="00466ECE"/>
    <w:rsid w:val="004677ED"/>
    <w:rsid w:val="00467B65"/>
    <w:rsid w:val="004704E1"/>
    <w:rsid w:val="00470B9D"/>
    <w:rsid w:val="00470F1E"/>
    <w:rsid w:val="00472014"/>
    <w:rsid w:val="004727F7"/>
    <w:rsid w:val="00472884"/>
    <w:rsid w:val="00474A9A"/>
    <w:rsid w:val="00475BAD"/>
    <w:rsid w:val="00475E4F"/>
    <w:rsid w:val="00476925"/>
    <w:rsid w:val="004771CF"/>
    <w:rsid w:val="00481409"/>
    <w:rsid w:val="00482C6F"/>
    <w:rsid w:val="00482E5C"/>
    <w:rsid w:val="00483395"/>
    <w:rsid w:val="004849B0"/>
    <w:rsid w:val="004852E2"/>
    <w:rsid w:val="00485612"/>
    <w:rsid w:val="0048597F"/>
    <w:rsid w:val="00485D9E"/>
    <w:rsid w:val="004864F3"/>
    <w:rsid w:val="004867E1"/>
    <w:rsid w:val="00486CBB"/>
    <w:rsid w:val="0049099F"/>
    <w:rsid w:val="00491C57"/>
    <w:rsid w:val="00491C81"/>
    <w:rsid w:val="004920B1"/>
    <w:rsid w:val="00492CCD"/>
    <w:rsid w:val="004948A8"/>
    <w:rsid w:val="00495E64"/>
    <w:rsid w:val="00496173"/>
    <w:rsid w:val="004979F2"/>
    <w:rsid w:val="004A0397"/>
    <w:rsid w:val="004A0D6F"/>
    <w:rsid w:val="004A0F96"/>
    <w:rsid w:val="004A2F99"/>
    <w:rsid w:val="004A47A9"/>
    <w:rsid w:val="004A497D"/>
    <w:rsid w:val="004A6003"/>
    <w:rsid w:val="004B0B3D"/>
    <w:rsid w:val="004B1917"/>
    <w:rsid w:val="004B2289"/>
    <w:rsid w:val="004B3186"/>
    <w:rsid w:val="004B31F8"/>
    <w:rsid w:val="004B35B2"/>
    <w:rsid w:val="004B5A9E"/>
    <w:rsid w:val="004C01FE"/>
    <w:rsid w:val="004C096C"/>
    <w:rsid w:val="004C171B"/>
    <w:rsid w:val="004C2246"/>
    <w:rsid w:val="004C4AEA"/>
    <w:rsid w:val="004C4FF8"/>
    <w:rsid w:val="004C55F4"/>
    <w:rsid w:val="004C68FA"/>
    <w:rsid w:val="004C7371"/>
    <w:rsid w:val="004C7F7C"/>
    <w:rsid w:val="004D0066"/>
    <w:rsid w:val="004D0A3C"/>
    <w:rsid w:val="004D0CF4"/>
    <w:rsid w:val="004D1886"/>
    <w:rsid w:val="004D28D4"/>
    <w:rsid w:val="004D28DC"/>
    <w:rsid w:val="004D3756"/>
    <w:rsid w:val="004D3BD6"/>
    <w:rsid w:val="004D42C2"/>
    <w:rsid w:val="004D4F1D"/>
    <w:rsid w:val="004D5506"/>
    <w:rsid w:val="004D56B8"/>
    <w:rsid w:val="004D5F83"/>
    <w:rsid w:val="004D6112"/>
    <w:rsid w:val="004D6CEC"/>
    <w:rsid w:val="004D76CB"/>
    <w:rsid w:val="004D7910"/>
    <w:rsid w:val="004E083F"/>
    <w:rsid w:val="004E226D"/>
    <w:rsid w:val="004E3DEA"/>
    <w:rsid w:val="004E4039"/>
    <w:rsid w:val="004E4F5B"/>
    <w:rsid w:val="004F0AFB"/>
    <w:rsid w:val="004F146E"/>
    <w:rsid w:val="004F2776"/>
    <w:rsid w:val="004F3A46"/>
    <w:rsid w:val="004F4824"/>
    <w:rsid w:val="004F5519"/>
    <w:rsid w:val="004F693A"/>
    <w:rsid w:val="00500697"/>
    <w:rsid w:val="00500F26"/>
    <w:rsid w:val="005028BA"/>
    <w:rsid w:val="005028F7"/>
    <w:rsid w:val="0050294C"/>
    <w:rsid w:val="00502DC9"/>
    <w:rsid w:val="00502F3E"/>
    <w:rsid w:val="00503486"/>
    <w:rsid w:val="005059DF"/>
    <w:rsid w:val="00505C34"/>
    <w:rsid w:val="00506038"/>
    <w:rsid w:val="005062C1"/>
    <w:rsid w:val="005066C3"/>
    <w:rsid w:val="00507191"/>
    <w:rsid w:val="00507913"/>
    <w:rsid w:val="005113FE"/>
    <w:rsid w:val="00512206"/>
    <w:rsid w:val="00512AC7"/>
    <w:rsid w:val="00512CAD"/>
    <w:rsid w:val="0051455B"/>
    <w:rsid w:val="00515096"/>
    <w:rsid w:val="00515387"/>
    <w:rsid w:val="0052046A"/>
    <w:rsid w:val="00521071"/>
    <w:rsid w:val="00522F5B"/>
    <w:rsid w:val="00524849"/>
    <w:rsid w:val="0052621E"/>
    <w:rsid w:val="005275B6"/>
    <w:rsid w:val="00527E78"/>
    <w:rsid w:val="005300FD"/>
    <w:rsid w:val="005302A3"/>
    <w:rsid w:val="005309C5"/>
    <w:rsid w:val="00530C98"/>
    <w:rsid w:val="00532C05"/>
    <w:rsid w:val="00532F9F"/>
    <w:rsid w:val="0053321E"/>
    <w:rsid w:val="00533302"/>
    <w:rsid w:val="00533DC9"/>
    <w:rsid w:val="0053531A"/>
    <w:rsid w:val="00537193"/>
    <w:rsid w:val="005375AD"/>
    <w:rsid w:val="00537CCD"/>
    <w:rsid w:val="00537D83"/>
    <w:rsid w:val="00540001"/>
    <w:rsid w:val="00540ABC"/>
    <w:rsid w:val="00540CC1"/>
    <w:rsid w:val="00542B46"/>
    <w:rsid w:val="00543329"/>
    <w:rsid w:val="00545606"/>
    <w:rsid w:val="0054598A"/>
    <w:rsid w:val="00545F3C"/>
    <w:rsid w:val="005474DA"/>
    <w:rsid w:val="00550453"/>
    <w:rsid w:val="0055119B"/>
    <w:rsid w:val="005524BE"/>
    <w:rsid w:val="00556666"/>
    <w:rsid w:val="00561C3C"/>
    <w:rsid w:val="00562804"/>
    <w:rsid w:val="00562AA3"/>
    <w:rsid w:val="0056372D"/>
    <w:rsid w:val="005646EC"/>
    <w:rsid w:val="00564868"/>
    <w:rsid w:val="005648D1"/>
    <w:rsid w:val="00564BB3"/>
    <w:rsid w:val="005653B1"/>
    <w:rsid w:val="00565BEF"/>
    <w:rsid w:val="00565D45"/>
    <w:rsid w:val="00565F85"/>
    <w:rsid w:val="00566989"/>
    <w:rsid w:val="005675E8"/>
    <w:rsid w:val="005700EB"/>
    <w:rsid w:val="00570EDF"/>
    <w:rsid w:val="00572BAF"/>
    <w:rsid w:val="00573335"/>
    <w:rsid w:val="00573897"/>
    <w:rsid w:val="00573B6B"/>
    <w:rsid w:val="005743B6"/>
    <w:rsid w:val="0057511F"/>
    <w:rsid w:val="0057521A"/>
    <w:rsid w:val="0057581A"/>
    <w:rsid w:val="00576256"/>
    <w:rsid w:val="00577A71"/>
    <w:rsid w:val="00580A94"/>
    <w:rsid w:val="00580FE4"/>
    <w:rsid w:val="005829AA"/>
    <w:rsid w:val="00582F43"/>
    <w:rsid w:val="00583BF4"/>
    <w:rsid w:val="00583C61"/>
    <w:rsid w:val="00583F13"/>
    <w:rsid w:val="00584761"/>
    <w:rsid w:val="00584F5F"/>
    <w:rsid w:val="0058535A"/>
    <w:rsid w:val="00585F54"/>
    <w:rsid w:val="005879D2"/>
    <w:rsid w:val="0059004B"/>
    <w:rsid w:val="005900E1"/>
    <w:rsid w:val="0059121B"/>
    <w:rsid w:val="00592E6E"/>
    <w:rsid w:val="00593121"/>
    <w:rsid w:val="0059411F"/>
    <w:rsid w:val="005948A9"/>
    <w:rsid w:val="00594F41"/>
    <w:rsid w:val="00595D3C"/>
    <w:rsid w:val="00595F3C"/>
    <w:rsid w:val="00596658"/>
    <w:rsid w:val="005A02E0"/>
    <w:rsid w:val="005A147A"/>
    <w:rsid w:val="005A210C"/>
    <w:rsid w:val="005A31F6"/>
    <w:rsid w:val="005A4099"/>
    <w:rsid w:val="005A57FF"/>
    <w:rsid w:val="005B0352"/>
    <w:rsid w:val="005B1024"/>
    <w:rsid w:val="005B21EB"/>
    <w:rsid w:val="005B3BB4"/>
    <w:rsid w:val="005B4C95"/>
    <w:rsid w:val="005B565A"/>
    <w:rsid w:val="005B5E7D"/>
    <w:rsid w:val="005B6F98"/>
    <w:rsid w:val="005B7287"/>
    <w:rsid w:val="005B7BF6"/>
    <w:rsid w:val="005C010A"/>
    <w:rsid w:val="005C0554"/>
    <w:rsid w:val="005C226E"/>
    <w:rsid w:val="005C3131"/>
    <w:rsid w:val="005C50F5"/>
    <w:rsid w:val="005C599F"/>
    <w:rsid w:val="005C5C41"/>
    <w:rsid w:val="005C6218"/>
    <w:rsid w:val="005C68A8"/>
    <w:rsid w:val="005C693D"/>
    <w:rsid w:val="005C7E10"/>
    <w:rsid w:val="005D0AFE"/>
    <w:rsid w:val="005D0BD8"/>
    <w:rsid w:val="005D13E5"/>
    <w:rsid w:val="005D1CC1"/>
    <w:rsid w:val="005D2CDD"/>
    <w:rsid w:val="005D4269"/>
    <w:rsid w:val="005D4CF8"/>
    <w:rsid w:val="005D50EC"/>
    <w:rsid w:val="005D5EE8"/>
    <w:rsid w:val="005D76A1"/>
    <w:rsid w:val="005E0861"/>
    <w:rsid w:val="005E126D"/>
    <w:rsid w:val="005E135A"/>
    <w:rsid w:val="005E13A0"/>
    <w:rsid w:val="005E187E"/>
    <w:rsid w:val="005E216E"/>
    <w:rsid w:val="005E2A03"/>
    <w:rsid w:val="005E3464"/>
    <w:rsid w:val="005E3D2D"/>
    <w:rsid w:val="005E4229"/>
    <w:rsid w:val="005E453D"/>
    <w:rsid w:val="005E480C"/>
    <w:rsid w:val="005E58E7"/>
    <w:rsid w:val="005E6397"/>
    <w:rsid w:val="005F03CB"/>
    <w:rsid w:val="005F265A"/>
    <w:rsid w:val="005F29E0"/>
    <w:rsid w:val="005F3C11"/>
    <w:rsid w:val="005F3F7B"/>
    <w:rsid w:val="005F6025"/>
    <w:rsid w:val="005F6208"/>
    <w:rsid w:val="005F7662"/>
    <w:rsid w:val="005F7DAA"/>
    <w:rsid w:val="00600256"/>
    <w:rsid w:val="006013B2"/>
    <w:rsid w:val="0060222D"/>
    <w:rsid w:val="00603038"/>
    <w:rsid w:val="00603A9E"/>
    <w:rsid w:val="00604325"/>
    <w:rsid w:val="006057EE"/>
    <w:rsid w:val="006063D2"/>
    <w:rsid w:val="00606970"/>
    <w:rsid w:val="00607155"/>
    <w:rsid w:val="00607F0E"/>
    <w:rsid w:val="0061021E"/>
    <w:rsid w:val="00610455"/>
    <w:rsid w:val="0061183E"/>
    <w:rsid w:val="00612654"/>
    <w:rsid w:val="006144E4"/>
    <w:rsid w:val="00614968"/>
    <w:rsid w:val="0061581D"/>
    <w:rsid w:val="0061617E"/>
    <w:rsid w:val="00616449"/>
    <w:rsid w:val="006166DE"/>
    <w:rsid w:val="0061741B"/>
    <w:rsid w:val="00617C42"/>
    <w:rsid w:val="00617DCA"/>
    <w:rsid w:val="00621A7D"/>
    <w:rsid w:val="006230F8"/>
    <w:rsid w:val="006231A2"/>
    <w:rsid w:val="006232E1"/>
    <w:rsid w:val="006235AC"/>
    <w:rsid w:val="00624D7D"/>
    <w:rsid w:val="00625BA6"/>
    <w:rsid w:val="00630BE4"/>
    <w:rsid w:val="00631FBE"/>
    <w:rsid w:val="00632395"/>
    <w:rsid w:val="0063326D"/>
    <w:rsid w:val="00633CDB"/>
    <w:rsid w:val="006345D0"/>
    <w:rsid w:val="006358C1"/>
    <w:rsid w:val="00635CE9"/>
    <w:rsid w:val="0063605C"/>
    <w:rsid w:val="00640F4F"/>
    <w:rsid w:val="006425B7"/>
    <w:rsid w:val="006446D3"/>
    <w:rsid w:val="0064526A"/>
    <w:rsid w:val="00645B27"/>
    <w:rsid w:val="00647F10"/>
    <w:rsid w:val="00653516"/>
    <w:rsid w:val="00653E4E"/>
    <w:rsid w:val="00654580"/>
    <w:rsid w:val="006553FF"/>
    <w:rsid w:val="006569D9"/>
    <w:rsid w:val="0065720A"/>
    <w:rsid w:val="006609A9"/>
    <w:rsid w:val="00660BE9"/>
    <w:rsid w:val="0066111E"/>
    <w:rsid w:val="00662F12"/>
    <w:rsid w:val="0066352E"/>
    <w:rsid w:val="00664F4D"/>
    <w:rsid w:val="006654C7"/>
    <w:rsid w:val="006664F4"/>
    <w:rsid w:val="00670936"/>
    <w:rsid w:val="00670F64"/>
    <w:rsid w:val="00671BD3"/>
    <w:rsid w:val="0067237A"/>
    <w:rsid w:val="00676032"/>
    <w:rsid w:val="00677894"/>
    <w:rsid w:val="00677B33"/>
    <w:rsid w:val="00677EB8"/>
    <w:rsid w:val="00680447"/>
    <w:rsid w:val="006805BF"/>
    <w:rsid w:val="0068101C"/>
    <w:rsid w:val="006824C0"/>
    <w:rsid w:val="0068406F"/>
    <w:rsid w:val="006842C0"/>
    <w:rsid w:val="006877BD"/>
    <w:rsid w:val="0069106D"/>
    <w:rsid w:val="00691EDE"/>
    <w:rsid w:val="0069354E"/>
    <w:rsid w:val="00693BD8"/>
    <w:rsid w:val="006951B7"/>
    <w:rsid w:val="006961D4"/>
    <w:rsid w:val="00697780"/>
    <w:rsid w:val="00697970"/>
    <w:rsid w:val="006A0AEC"/>
    <w:rsid w:val="006A1CD7"/>
    <w:rsid w:val="006A5607"/>
    <w:rsid w:val="006A58E4"/>
    <w:rsid w:val="006A5A65"/>
    <w:rsid w:val="006A5D16"/>
    <w:rsid w:val="006A5FF0"/>
    <w:rsid w:val="006A7A14"/>
    <w:rsid w:val="006A7CC7"/>
    <w:rsid w:val="006B070F"/>
    <w:rsid w:val="006B26FC"/>
    <w:rsid w:val="006B3575"/>
    <w:rsid w:val="006B555F"/>
    <w:rsid w:val="006B5567"/>
    <w:rsid w:val="006B7F0A"/>
    <w:rsid w:val="006C143D"/>
    <w:rsid w:val="006C1981"/>
    <w:rsid w:val="006C3A7D"/>
    <w:rsid w:val="006C3E5A"/>
    <w:rsid w:val="006C4191"/>
    <w:rsid w:val="006C5270"/>
    <w:rsid w:val="006C61F8"/>
    <w:rsid w:val="006C672B"/>
    <w:rsid w:val="006C6976"/>
    <w:rsid w:val="006D250A"/>
    <w:rsid w:val="006D2788"/>
    <w:rsid w:val="006D3EFC"/>
    <w:rsid w:val="006D5B59"/>
    <w:rsid w:val="006D60D5"/>
    <w:rsid w:val="006D6862"/>
    <w:rsid w:val="006D68A0"/>
    <w:rsid w:val="006D7793"/>
    <w:rsid w:val="006E2937"/>
    <w:rsid w:val="006E2A5F"/>
    <w:rsid w:val="006E2AE2"/>
    <w:rsid w:val="006E429D"/>
    <w:rsid w:val="006E4312"/>
    <w:rsid w:val="006E4E05"/>
    <w:rsid w:val="006E667C"/>
    <w:rsid w:val="006F093B"/>
    <w:rsid w:val="006F18FC"/>
    <w:rsid w:val="006F19BF"/>
    <w:rsid w:val="006F2248"/>
    <w:rsid w:val="006F2269"/>
    <w:rsid w:val="006F515A"/>
    <w:rsid w:val="006F5A37"/>
    <w:rsid w:val="006F6D24"/>
    <w:rsid w:val="006F6FF7"/>
    <w:rsid w:val="00700609"/>
    <w:rsid w:val="00700977"/>
    <w:rsid w:val="00702A30"/>
    <w:rsid w:val="00703BDB"/>
    <w:rsid w:val="00705A22"/>
    <w:rsid w:val="00705D34"/>
    <w:rsid w:val="00710033"/>
    <w:rsid w:val="007104F2"/>
    <w:rsid w:val="00710731"/>
    <w:rsid w:val="007153D0"/>
    <w:rsid w:val="00716121"/>
    <w:rsid w:val="00716D09"/>
    <w:rsid w:val="00717968"/>
    <w:rsid w:val="00721670"/>
    <w:rsid w:val="007231C1"/>
    <w:rsid w:val="00725413"/>
    <w:rsid w:val="007301BF"/>
    <w:rsid w:val="00731630"/>
    <w:rsid w:val="00733FFA"/>
    <w:rsid w:val="007343FC"/>
    <w:rsid w:val="00734B49"/>
    <w:rsid w:val="0073605A"/>
    <w:rsid w:val="00736121"/>
    <w:rsid w:val="007367A1"/>
    <w:rsid w:val="0073773B"/>
    <w:rsid w:val="007417C5"/>
    <w:rsid w:val="00742687"/>
    <w:rsid w:val="00742C26"/>
    <w:rsid w:val="00743521"/>
    <w:rsid w:val="007442CC"/>
    <w:rsid w:val="007446EC"/>
    <w:rsid w:val="00745151"/>
    <w:rsid w:val="00745D85"/>
    <w:rsid w:val="00747A43"/>
    <w:rsid w:val="00750439"/>
    <w:rsid w:val="007506FA"/>
    <w:rsid w:val="00750D58"/>
    <w:rsid w:val="00750D73"/>
    <w:rsid w:val="00751D52"/>
    <w:rsid w:val="0075446A"/>
    <w:rsid w:val="007546DF"/>
    <w:rsid w:val="007547B9"/>
    <w:rsid w:val="0075602E"/>
    <w:rsid w:val="00757035"/>
    <w:rsid w:val="00757B0A"/>
    <w:rsid w:val="007604E1"/>
    <w:rsid w:val="0076095F"/>
    <w:rsid w:val="007636B6"/>
    <w:rsid w:val="00763867"/>
    <w:rsid w:val="0076436B"/>
    <w:rsid w:val="0076495F"/>
    <w:rsid w:val="00764DE5"/>
    <w:rsid w:val="0076530D"/>
    <w:rsid w:val="00766499"/>
    <w:rsid w:val="007707FF"/>
    <w:rsid w:val="00770E1E"/>
    <w:rsid w:val="00771383"/>
    <w:rsid w:val="007722EB"/>
    <w:rsid w:val="007739BB"/>
    <w:rsid w:val="00773D48"/>
    <w:rsid w:val="00774FD0"/>
    <w:rsid w:val="00776540"/>
    <w:rsid w:val="00780A14"/>
    <w:rsid w:val="00780B68"/>
    <w:rsid w:val="00780D8C"/>
    <w:rsid w:val="00780E61"/>
    <w:rsid w:val="00781958"/>
    <w:rsid w:val="00781A9F"/>
    <w:rsid w:val="007820BF"/>
    <w:rsid w:val="0078226F"/>
    <w:rsid w:val="00783692"/>
    <w:rsid w:val="0078405A"/>
    <w:rsid w:val="007840F1"/>
    <w:rsid w:val="00784EDF"/>
    <w:rsid w:val="007850CC"/>
    <w:rsid w:val="00785B53"/>
    <w:rsid w:val="00786CE8"/>
    <w:rsid w:val="00787C38"/>
    <w:rsid w:val="007900C2"/>
    <w:rsid w:val="00790C16"/>
    <w:rsid w:val="00790C5E"/>
    <w:rsid w:val="0079179A"/>
    <w:rsid w:val="0079198A"/>
    <w:rsid w:val="00792861"/>
    <w:rsid w:val="00792966"/>
    <w:rsid w:val="00792F71"/>
    <w:rsid w:val="00793261"/>
    <w:rsid w:val="00793A4F"/>
    <w:rsid w:val="007942DA"/>
    <w:rsid w:val="0079446F"/>
    <w:rsid w:val="007963CF"/>
    <w:rsid w:val="00796CA5"/>
    <w:rsid w:val="007970BB"/>
    <w:rsid w:val="007A223A"/>
    <w:rsid w:val="007A4705"/>
    <w:rsid w:val="007A5607"/>
    <w:rsid w:val="007A5CAB"/>
    <w:rsid w:val="007A5D37"/>
    <w:rsid w:val="007A7088"/>
    <w:rsid w:val="007A72DA"/>
    <w:rsid w:val="007A72F0"/>
    <w:rsid w:val="007A7C67"/>
    <w:rsid w:val="007B07CC"/>
    <w:rsid w:val="007B0F1F"/>
    <w:rsid w:val="007B1583"/>
    <w:rsid w:val="007B2E2F"/>
    <w:rsid w:val="007B2EE0"/>
    <w:rsid w:val="007B5171"/>
    <w:rsid w:val="007B5340"/>
    <w:rsid w:val="007B6C9D"/>
    <w:rsid w:val="007B6D6C"/>
    <w:rsid w:val="007C037C"/>
    <w:rsid w:val="007C0455"/>
    <w:rsid w:val="007C1A3B"/>
    <w:rsid w:val="007C1C6F"/>
    <w:rsid w:val="007C21F9"/>
    <w:rsid w:val="007C47BD"/>
    <w:rsid w:val="007C5D77"/>
    <w:rsid w:val="007D07C4"/>
    <w:rsid w:val="007D2559"/>
    <w:rsid w:val="007D2601"/>
    <w:rsid w:val="007D2CD7"/>
    <w:rsid w:val="007D337C"/>
    <w:rsid w:val="007D34C5"/>
    <w:rsid w:val="007D4553"/>
    <w:rsid w:val="007D5172"/>
    <w:rsid w:val="007D6791"/>
    <w:rsid w:val="007D6943"/>
    <w:rsid w:val="007D7649"/>
    <w:rsid w:val="007D7D72"/>
    <w:rsid w:val="007E0A03"/>
    <w:rsid w:val="007E28F7"/>
    <w:rsid w:val="007E2E4E"/>
    <w:rsid w:val="007E352F"/>
    <w:rsid w:val="007E3747"/>
    <w:rsid w:val="007E3837"/>
    <w:rsid w:val="007E49DA"/>
    <w:rsid w:val="007E4A21"/>
    <w:rsid w:val="007E5629"/>
    <w:rsid w:val="007E5F59"/>
    <w:rsid w:val="007F1111"/>
    <w:rsid w:val="007F1342"/>
    <w:rsid w:val="007F1A24"/>
    <w:rsid w:val="007F28C9"/>
    <w:rsid w:val="007F4696"/>
    <w:rsid w:val="007F6339"/>
    <w:rsid w:val="008009D7"/>
    <w:rsid w:val="00801CD2"/>
    <w:rsid w:val="0080474F"/>
    <w:rsid w:val="00805B1D"/>
    <w:rsid w:val="00805B7E"/>
    <w:rsid w:val="00806382"/>
    <w:rsid w:val="008065EA"/>
    <w:rsid w:val="00806798"/>
    <w:rsid w:val="00807A2B"/>
    <w:rsid w:val="00807AD5"/>
    <w:rsid w:val="00810042"/>
    <w:rsid w:val="0081048B"/>
    <w:rsid w:val="00810503"/>
    <w:rsid w:val="00811EF5"/>
    <w:rsid w:val="0081225C"/>
    <w:rsid w:val="00813535"/>
    <w:rsid w:val="00814429"/>
    <w:rsid w:val="00816791"/>
    <w:rsid w:val="008168C3"/>
    <w:rsid w:val="00816C2E"/>
    <w:rsid w:val="00820EC5"/>
    <w:rsid w:val="008221A8"/>
    <w:rsid w:val="00822714"/>
    <w:rsid w:val="00822E9B"/>
    <w:rsid w:val="0082341E"/>
    <w:rsid w:val="0082538C"/>
    <w:rsid w:val="008270F1"/>
    <w:rsid w:val="008279D6"/>
    <w:rsid w:val="008319A0"/>
    <w:rsid w:val="008355C1"/>
    <w:rsid w:val="00835FA1"/>
    <w:rsid w:val="00842F13"/>
    <w:rsid w:val="008454B7"/>
    <w:rsid w:val="00845EAE"/>
    <w:rsid w:val="0084612D"/>
    <w:rsid w:val="0084651E"/>
    <w:rsid w:val="008472E7"/>
    <w:rsid w:val="00850965"/>
    <w:rsid w:val="00851155"/>
    <w:rsid w:val="0085170A"/>
    <w:rsid w:val="00853DE0"/>
    <w:rsid w:val="00855187"/>
    <w:rsid w:val="008560C7"/>
    <w:rsid w:val="00856249"/>
    <w:rsid w:val="0085724D"/>
    <w:rsid w:val="0086092B"/>
    <w:rsid w:val="00860E86"/>
    <w:rsid w:val="008612AE"/>
    <w:rsid w:val="00861CE8"/>
    <w:rsid w:val="00862221"/>
    <w:rsid w:val="00862311"/>
    <w:rsid w:val="0086403A"/>
    <w:rsid w:val="00864B37"/>
    <w:rsid w:val="00865538"/>
    <w:rsid w:val="00865819"/>
    <w:rsid w:val="00870F1B"/>
    <w:rsid w:val="00871A2D"/>
    <w:rsid w:val="00873E50"/>
    <w:rsid w:val="00874BB7"/>
    <w:rsid w:val="00874D14"/>
    <w:rsid w:val="0087549A"/>
    <w:rsid w:val="008764C7"/>
    <w:rsid w:val="00877162"/>
    <w:rsid w:val="00877A99"/>
    <w:rsid w:val="00880639"/>
    <w:rsid w:val="00880A1E"/>
    <w:rsid w:val="00881009"/>
    <w:rsid w:val="00881F2E"/>
    <w:rsid w:val="0088231B"/>
    <w:rsid w:val="00883A52"/>
    <w:rsid w:val="0088443E"/>
    <w:rsid w:val="00884756"/>
    <w:rsid w:val="00884CF3"/>
    <w:rsid w:val="00886ED1"/>
    <w:rsid w:val="008870B8"/>
    <w:rsid w:val="0089079F"/>
    <w:rsid w:val="00891EC4"/>
    <w:rsid w:val="00892A57"/>
    <w:rsid w:val="00892D12"/>
    <w:rsid w:val="00892F81"/>
    <w:rsid w:val="008934D9"/>
    <w:rsid w:val="008955D4"/>
    <w:rsid w:val="008971AB"/>
    <w:rsid w:val="008A3B54"/>
    <w:rsid w:val="008A5E45"/>
    <w:rsid w:val="008B18F8"/>
    <w:rsid w:val="008B1C85"/>
    <w:rsid w:val="008B2044"/>
    <w:rsid w:val="008B3902"/>
    <w:rsid w:val="008B4D16"/>
    <w:rsid w:val="008B5604"/>
    <w:rsid w:val="008B5F8A"/>
    <w:rsid w:val="008B6002"/>
    <w:rsid w:val="008B60DF"/>
    <w:rsid w:val="008B6D5A"/>
    <w:rsid w:val="008B71E0"/>
    <w:rsid w:val="008B7CEC"/>
    <w:rsid w:val="008C2E5C"/>
    <w:rsid w:val="008C3F35"/>
    <w:rsid w:val="008C43B9"/>
    <w:rsid w:val="008C65F2"/>
    <w:rsid w:val="008D093E"/>
    <w:rsid w:val="008D1067"/>
    <w:rsid w:val="008D11EE"/>
    <w:rsid w:val="008D1BCC"/>
    <w:rsid w:val="008D27F9"/>
    <w:rsid w:val="008D2B75"/>
    <w:rsid w:val="008D3B34"/>
    <w:rsid w:val="008D4A99"/>
    <w:rsid w:val="008D50E4"/>
    <w:rsid w:val="008D5CEF"/>
    <w:rsid w:val="008D6812"/>
    <w:rsid w:val="008E22BC"/>
    <w:rsid w:val="008E37CC"/>
    <w:rsid w:val="008E3B05"/>
    <w:rsid w:val="008E4A5C"/>
    <w:rsid w:val="008E4A9E"/>
    <w:rsid w:val="008E56B6"/>
    <w:rsid w:val="008E70FC"/>
    <w:rsid w:val="008E7109"/>
    <w:rsid w:val="008E7996"/>
    <w:rsid w:val="008F0262"/>
    <w:rsid w:val="008F0C6A"/>
    <w:rsid w:val="008F10D4"/>
    <w:rsid w:val="008F1C47"/>
    <w:rsid w:val="008F55FC"/>
    <w:rsid w:val="008F5A22"/>
    <w:rsid w:val="008F65DF"/>
    <w:rsid w:val="00900B79"/>
    <w:rsid w:val="00902548"/>
    <w:rsid w:val="00902BD0"/>
    <w:rsid w:val="00903468"/>
    <w:rsid w:val="00904CAC"/>
    <w:rsid w:val="00905558"/>
    <w:rsid w:val="009068A1"/>
    <w:rsid w:val="00910284"/>
    <w:rsid w:val="00911F7F"/>
    <w:rsid w:val="009122FE"/>
    <w:rsid w:val="00912429"/>
    <w:rsid w:val="00912CD8"/>
    <w:rsid w:val="00913589"/>
    <w:rsid w:val="009143F5"/>
    <w:rsid w:val="009146EE"/>
    <w:rsid w:val="009150DF"/>
    <w:rsid w:val="009208EE"/>
    <w:rsid w:val="00920F61"/>
    <w:rsid w:val="00923D13"/>
    <w:rsid w:val="00923F88"/>
    <w:rsid w:val="009252C6"/>
    <w:rsid w:val="00925A45"/>
    <w:rsid w:val="00925FC2"/>
    <w:rsid w:val="009261EC"/>
    <w:rsid w:val="00926B04"/>
    <w:rsid w:val="00926B67"/>
    <w:rsid w:val="009276DA"/>
    <w:rsid w:val="00927E41"/>
    <w:rsid w:val="009303BC"/>
    <w:rsid w:val="00930D1A"/>
    <w:rsid w:val="0093119E"/>
    <w:rsid w:val="00934C03"/>
    <w:rsid w:val="009377C0"/>
    <w:rsid w:val="0094019F"/>
    <w:rsid w:val="009411B5"/>
    <w:rsid w:val="00941749"/>
    <w:rsid w:val="00942F4B"/>
    <w:rsid w:val="00944849"/>
    <w:rsid w:val="00944C9E"/>
    <w:rsid w:val="00947765"/>
    <w:rsid w:val="00947C16"/>
    <w:rsid w:val="00947F63"/>
    <w:rsid w:val="0095011E"/>
    <w:rsid w:val="00950A67"/>
    <w:rsid w:val="009528AE"/>
    <w:rsid w:val="00952C8D"/>
    <w:rsid w:val="00953522"/>
    <w:rsid w:val="009543D8"/>
    <w:rsid w:val="009558B5"/>
    <w:rsid w:val="00955F7A"/>
    <w:rsid w:val="009570F5"/>
    <w:rsid w:val="00957217"/>
    <w:rsid w:val="00957D21"/>
    <w:rsid w:val="0096092A"/>
    <w:rsid w:val="0096293A"/>
    <w:rsid w:val="009631D1"/>
    <w:rsid w:val="009636A8"/>
    <w:rsid w:val="009656F2"/>
    <w:rsid w:val="00966452"/>
    <w:rsid w:val="00966922"/>
    <w:rsid w:val="00966CAE"/>
    <w:rsid w:val="00972788"/>
    <w:rsid w:val="00972CEF"/>
    <w:rsid w:val="00973C46"/>
    <w:rsid w:val="00974E89"/>
    <w:rsid w:val="00975583"/>
    <w:rsid w:val="009771E8"/>
    <w:rsid w:val="00980C06"/>
    <w:rsid w:val="00985E9B"/>
    <w:rsid w:val="00986EDF"/>
    <w:rsid w:val="00990C0B"/>
    <w:rsid w:val="00991A4D"/>
    <w:rsid w:val="00991B7C"/>
    <w:rsid w:val="00991EB7"/>
    <w:rsid w:val="009948B5"/>
    <w:rsid w:val="0099551F"/>
    <w:rsid w:val="0099569F"/>
    <w:rsid w:val="00996A38"/>
    <w:rsid w:val="009A0953"/>
    <w:rsid w:val="009A1056"/>
    <w:rsid w:val="009A14D9"/>
    <w:rsid w:val="009A16FD"/>
    <w:rsid w:val="009A36C7"/>
    <w:rsid w:val="009A5443"/>
    <w:rsid w:val="009A5B0B"/>
    <w:rsid w:val="009A6D2A"/>
    <w:rsid w:val="009A732A"/>
    <w:rsid w:val="009A7D9D"/>
    <w:rsid w:val="009B0199"/>
    <w:rsid w:val="009B06AB"/>
    <w:rsid w:val="009B110C"/>
    <w:rsid w:val="009B27FC"/>
    <w:rsid w:val="009B29F8"/>
    <w:rsid w:val="009B2AA9"/>
    <w:rsid w:val="009B2DA8"/>
    <w:rsid w:val="009B2E76"/>
    <w:rsid w:val="009B3CB1"/>
    <w:rsid w:val="009B4636"/>
    <w:rsid w:val="009B4D8A"/>
    <w:rsid w:val="009B52AB"/>
    <w:rsid w:val="009B6CF0"/>
    <w:rsid w:val="009B6EA1"/>
    <w:rsid w:val="009B756C"/>
    <w:rsid w:val="009C22ED"/>
    <w:rsid w:val="009C2B0D"/>
    <w:rsid w:val="009C3ACD"/>
    <w:rsid w:val="009C5227"/>
    <w:rsid w:val="009D0195"/>
    <w:rsid w:val="009D03A0"/>
    <w:rsid w:val="009D0E6A"/>
    <w:rsid w:val="009D1045"/>
    <w:rsid w:val="009D17A0"/>
    <w:rsid w:val="009D20ED"/>
    <w:rsid w:val="009D22C0"/>
    <w:rsid w:val="009D238E"/>
    <w:rsid w:val="009D2F2E"/>
    <w:rsid w:val="009D31E9"/>
    <w:rsid w:val="009D674E"/>
    <w:rsid w:val="009D6E13"/>
    <w:rsid w:val="009D71EC"/>
    <w:rsid w:val="009E1623"/>
    <w:rsid w:val="009E1BE1"/>
    <w:rsid w:val="009E3653"/>
    <w:rsid w:val="009E40F2"/>
    <w:rsid w:val="009E4B00"/>
    <w:rsid w:val="009E5040"/>
    <w:rsid w:val="009E5C55"/>
    <w:rsid w:val="009E7D31"/>
    <w:rsid w:val="009E7FB4"/>
    <w:rsid w:val="009F1D81"/>
    <w:rsid w:val="009F2CF1"/>
    <w:rsid w:val="009F2D72"/>
    <w:rsid w:val="009F3134"/>
    <w:rsid w:val="00A01D94"/>
    <w:rsid w:val="00A040F1"/>
    <w:rsid w:val="00A04540"/>
    <w:rsid w:val="00A0462B"/>
    <w:rsid w:val="00A04AE3"/>
    <w:rsid w:val="00A04E57"/>
    <w:rsid w:val="00A05109"/>
    <w:rsid w:val="00A109DC"/>
    <w:rsid w:val="00A10BB6"/>
    <w:rsid w:val="00A11AFE"/>
    <w:rsid w:val="00A126A7"/>
    <w:rsid w:val="00A126FF"/>
    <w:rsid w:val="00A12E52"/>
    <w:rsid w:val="00A1311D"/>
    <w:rsid w:val="00A13277"/>
    <w:rsid w:val="00A13901"/>
    <w:rsid w:val="00A1396E"/>
    <w:rsid w:val="00A14FBB"/>
    <w:rsid w:val="00A153D5"/>
    <w:rsid w:val="00A15A53"/>
    <w:rsid w:val="00A15D02"/>
    <w:rsid w:val="00A17A65"/>
    <w:rsid w:val="00A2000A"/>
    <w:rsid w:val="00A21B4F"/>
    <w:rsid w:val="00A2240D"/>
    <w:rsid w:val="00A22B98"/>
    <w:rsid w:val="00A22D90"/>
    <w:rsid w:val="00A268E8"/>
    <w:rsid w:val="00A3081B"/>
    <w:rsid w:val="00A30C62"/>
    <w:rsid w:val="00A3346C"/>
    <w:rsid w:val="00A33B73"/>
    <w:rsid w:val="00A35BE4"/>
    <w:rsid w:val="00A37CCD"/>
    <w:rsid w:val="00A41986"/>
    <w:rsid w:val="00A439F8"/>
    <w:rsid w:val="00A4479F"/>
    <w:rsid w:val="00A449D0"/>
    <w:rsid w:val="00A46C2A"/>
    <w:rsid w:val="00A47FBF"/>
    <w:rsid w:val="00A50395"/>
    <w:rsid w:val="00A50E30"/>
    <w:rsid w:val="00A52018"/>
    <w:rsid w:val="00A532D9"/>
    <w:rsid w:val="00A53651"/>
    <w:rsid w:val="00A54461"/>
    <w:rsid w:val="00A60144"/>
    <w:rsid w:val="00A615F5"/>
    <w:rsid w:val="00A619C3"/>
    <w:rsid w:val="00A63402"/>
    <w:rsid w:val="00A63A37"/>
    <w:rsid w:val="00A64EBE"/>
    <w:rsid w:val="00A655D6"/>
    <w:rsid w:val="00A65637"/>
    <w:rsid w:val="00A65A27"/>
    <w:rsid w:val="00A66543"/>
    <w:rsid w:val="00A6705B"/>
    <w:rsid w:val="00A7042F"/>
    <w:rsid w:val="00A70DB5"/>
    <w:rsid w:val="00A71FF8"/>
    <w:rsid w:val="00A72A86"/>
    <w:rsid w:val="00A75402"/>
    <w:rsid w:val="00A767D5"/>
    <w:rsid w:val="00A80383"/>
    <w:rsid w:val="00A8167B"/>
    <w:rsid w:val="00A828CD"/>
    <w:rsid w:val="00A82C23"/>
    <w:rsid w:val="00A8656D"/>
    <w:rsid w:val="00A9152E"/>
    <w:rsid w:val="00A92ACE"/>
    <w:rsid w:val="00A93212"/>
    <w:rsid w:val="00A93FDE"/>
    <w:rsid w:val="00A96231"/>
    <w:rsid w:val="00A97F84"/>
    <w:rsid w:val="00AA03FD"/>
    <w:rsid w:val="00AA22E1"/>
    <w:rsid w:val="00AA2D16"/>
    <w:rsid w:val="00AA47DE"/>
    <w:rsid w:val="00AA4A68"/>
    <w:rsid w:val="00AA5811"/>
    <w:rsid w:val="00AB0AB2"/>
    <w:rsid w:val="00AB0D88"/>
    <w:rsid w:val="00AB13AD"/>
    <w:rsid w:val="00AB174C"/>
    <w:rsid w:val="00AB249E"/>
    <w:rsid w:val="00AB365B"/>
    <w:rsid w:val="00AB60CF"/>
    <w:rsid w:val="00AB6826"/>
    <w:rsid w:val="00AB7AD6"/>
    <w:rsid w:val="00AC0D48"/>
    <w:rsid w:val="00AC19F5"/>
    <w:rsid w:val="00AC2839"/>
    <w:rsid w:val="00AC2F1B"/>
    <w:rsid w:val="00AC349B"/>
    <w:rsid w:val="00AC48E0"/>
    <w:rsid w:val="00AC4C68"/>
    <w:rsid w:val="00AC58E5"/>
    <w:rsid w:val="00AC5AB0"/>
    <w:rsid w:val="00AC7FA4"/>
    <w:rsid w:val="00AD21ED"/>
    <w:rsid w:val="00AD2581"/>
    <w:rsid w:val="00AD2C6A"/>
    <w:rsid w:val="00AD3193"/>
    <w:rsid w:val="00AD36C4"/>
    <w:rsid w:val="00AD3E7D"/>
    <w:rsid w:val="00AD6382"/>
    <w:rsid w:val="00AD64E1"/>
    <w:rsid w:val="00AD733D"/>
    <w:rsid w:val="00AD7405"/>
    <w:rsid w:val="00AE02EE"/>
    <w:rsid w:val="00AE0C1D"/>
    <w:rsid w:val="00AE2A92"/>
    <w:rsid w:val="00AE503E"/>
    <w:rsid w:val="00AE506D"/>
    <w:rsid w:val="00AE62B7"/>
    <w:rsid w:val="00AE6927"/>
    <w:rsid w:val="00AF092C"/>
    <w:rsid w:val="00AF0F59"/>
    <w:rsid w:val="00AF1150"/>
    <w:rsid w:val="00AF1B5A"/>
    <w:rsid w:val="00AF1F94"/>
    <w:rsid w:val="00AF217C"/>
    <w:rsid w:val="00AF49AF"/>
    <w:rsid w:val="00AF5F35"/>
    <w:rsid w:val="00AF77F6"/>
    <w:rsid w:val="00B000C5"/>
    <w:rsid w:val="00B01CA7"/>
    <w:rsid w:val="00B026CA"/>
    <w:rsid w:val="00B034CE"/>
    <w:rsid w:val="00B03814"/>
    <w:rsid w:val="00B044AE"/>
    <w:rsid w:val="00B045EE"/>
    <w:rsid w:val="00B074EA"/>
    <w:rsid w:val="00B07514"/>
    <w:rsid w:val="00B07600"/>
    <w:rsid w:val="00B078CF"/>
    <w:rsid w:val="00B106C6"/>
    <w:rsid w:val="00B113E0"/>
    <w:rsid w:val="00B13D55"/>
    <w:rsid w:val="00B1491C"/>
    <w:rsid w:val="00B158A4"/>
    <w:rsid w:val="00B169C7"/>
    <w:rsid w:val="00B1789F"/>
    <w:rsid w:val="00B20339"/>
    <w:rsid w:val="00B2050B"/>
    <w:rsid w:val="00B21283"/>
    <w:rsid w:val="00B22E3D"/>
    <w:rsid w:val="00B230AB"/>
    <w:rsid w:val="00B23257"/>
    <w:rsid w:val="00B23EAB"/>
    <w:rsid w:val="00B2411D"/>
    <w:rsid w:val="00B24856"/>
    <w:rsid w:val="00B25A82"/>
    <w:rsid w:val="00B2712F"/>
    <w:rsid w:val="00B27527"/>
    <w:rsid w:val="00B27B0A"/>
    <w:rsid w:val="00B320C3"/>
    <w:rsid w:val="00B34184"/>
    <w:rsid w:val="00B35686"/>
    <w:rsid w:val="00B36FFB"/>
    <w:rsid w:val="00B377E5"/>
    <w:rsid w:val="00B3795E"/>
    <w:rsid w:val="00B4389F"/>
    <w:rsid w:val="00B43F73"/>
    <w:rsid w:val="00B46898"/>
    <w:rsid w:val="00B47568"/>
    <w:rsid w:val="00B479F9"/>
    <w:rsid w:val="00B517E1"/>
    <w:rsid w:val="00B51A59"/>
    <w:rsid w:val="00B52129"/>
    <w:rsid w:val="00B52F9E"/>
    <w:rsid w:val="00B536C3"/>
    <w:rsid w:val="00B53EB6"/>
    <w:rsid w:val="00B54E10"/>
    <w:rsid w:val="00B555CD"/>
    <w:rsid w:val="00B573B4"/>
    <w:rsid w:val="00B60839"/>
    <w:rsid w:val="00B60D98"/>
    <w:rsid w:val="00B617D6"/>
    <w:rsid w:val="00B63525"/>
    <w:rsid w:val="00B63C28"/>
    <w:rsid w:val="00B64D5E"/>
    <w:rsid w:val="00B65789"/>
    <w:rsid w:val="00B66956"/>
    <w:rsid w:val="00B66EB4"/>
    <w:rsid w:val="00B6756B"/>
    <w:rsid w:val="00B73C05"/>
    <w:rsid w:val="00B74749"/>
    <w:rsid w:val="00B74E3F"/>
    <w:rsid w:val="00B765B6"/>
    <w:rsid w:val="00B7685D"/>
    <w:rsid w:val="00B77417"/>
    <w:rsid w:val="00B8070A"/>
    <w:rsid w:val="00B80750"/>
    <w:rsid w:val="00B811DB"/>
    <w:rsid w:val="00B8126F"/>
    <w:rsid w:val="00B81340"/>
    <w:rsid w:val="00B814F8"/>
    <w:rsid w:val="00B81504"/>
    <w:rsid w:val="00B81F78"/>
    <w:rsid w:val="00B83420"/>
    <w:rsid w:val="00B855D7"/>
    <w:rsid w:val="00B87B9D"/>
    <w:rsid w:val="00B87FF4"/>
    <w:rsid w:val="00B92191"/>
    <w:rsid w:val="00B934F8"/>
    <w:rsid w:val="00B94015"/>
    <w:rsid w:val="00B9452D"/>
    <w:rsid w:val="00B95509"/>
    <w:rsid w:val="00B9687B"/>
    <w:rsid w:val="00B970DC"/>
    <w:rsid w:val="00B971BE"/>
    <w:rsid w:val="00BA0481"/>
    <w:rsid w:val="00BA21B4"/>
    <w:rsid w:val="00BA2526"/>
    <w:rsid w:val="00BA2667"/>
    <w:rsid w:val="00BA3C2E"/>
    <w:rsid w:val="00BA3EC1"/>
    <w:rsid w:val="00BA4FDE"/>
    <w:rsid w:val="00BA6DB8"/>
    <w:rsid w:val="00BA72CE"/>
    <w:rsid w:val="00BA77AE"/>
    <w:rsid w:val="00BB1A26"/>
    <w:rsid w:val="00BB1EBB"/>
    <w:rsid w:val="00BB24A3"/>
    <w:rsid w:val="00BB2F90"/>
    <w:rsid w:val="00BB34BD"/>
    <w:rsid w:val="00BB3D39"/>
    <w:rsid w:val="00BB4BC1"/>
    <w:rsid w:val="00BB6FF4"/>
    <w:rsid w:val="00BC080C"/>
    <w:rsid w:val="00BC175B"/>
    <w:rsid w:val="00BC2821"/>
    <w:rsid w:val="00BC3075"/>
    <w:rsid w:val="00BC42C2"/>
    <w:rsid w:val="00BC45EB"/>
    <w:rsid w:val="00BC62E4"/>
    <w:rsid w:val="00BC666C"/>
    <w:rsid w:val="00BC6A87"/>
    <w:rsid w:val="00BC7F50"/>
    <w:rsid w:val="00BD15CA"/>
    <w:rsid w:val="00BD4847"/>
    <w:rsid w:val="00BD6346"/>
    <w:rsid w:val="00BD69D0"/>
    <w:rsid w:val="00BD6D6D"/>
    <w:rsid w:val="00BD7B72"/>
    <w:rsid w:val="00BE14BC"/>
    <w:rsid w:val="00BE38D5"/>
    <w:rsid w:val="00BE3FEA"/>
    <w:rsid w:val="00BE4703"/>
    <w:rsid w:val="00BE5FB9"/>
    <w:rsid w:val="00BE63D1"/>
    <w:rsid w:val="00BE6B40"/>
    <w:rsid w:val="00BE6E46"/>
    <w:rsid w:val="00BE6F02"/>
    <w:rsid w:val="00BE7643"/>
    <w:rsid w:val="00BF022F"/>
    <w:rsid w:val="00BF10CA"/>
    <w:rsid w:val="00BF2344"/>
    <w:rsid w:val="00BF275B"/>
    <w:rsid w:val="00BF2A74"/>
    <w:rsid w:val="00BF4A76"/>
    <w:rsid w:val="00BF6492"/>
    <w:rsid w:val="00BF7287"/>
    <w:rsid w:val="00BF788D"/>
    <w:rsid w:val="00C01073"/>
    <w:rsid w:val="00C01498"/>
    <w:rsid w:val="00C0157D"/>
    <w:rsid w:val="00C03104"/>
    <w:rsid w:val="00C035A3"/>
    <w:rsid w:val="00C0391C"/>
    <w:rsid w:val="00C03B5B"/>
    <w:rsid w:val="00C10FDE"/>
    <w:rsid w:val="00C110C0"/>
    <w:rsid w:val="00C12583"/>
    <w:rsid w:val="00C12A18"/>
    <w:rsid w:val="00C12A89"/>
    <w:rsid w:val="00C14567"/>
    <w:rsid w:val="00C150C7"/>
    <w:rsid w:val="00C16AA8"/>
    <w:rsid w:val="00C16CE0"/>
    <w:rsid w:val="00C1716B"/>
    <w:rsid w:val="00C175D8"/>
    <w:rsid w:val="00C178F5"/>
    <w:rsid w:val="00C17A2D"/>
    <w:rsid w:val="00C17B2A"/>
    <w:rsid w:val="00C2026D"/>
    <w:rsid w:val="00C203E5"/>
    <w:rsid w:val="00C22287"/>
    <w:rsid w:val="00C228AC"/>
    <w:rsid w:val="00C2345C"/>
    <w:rsid w:val="00C23DE8"/>
    <w:rsid w:val="00C2422F"/>
    <w:rsid w:val="00C24732"/>
    <w:rsid w:val="00C2519A"/>
    <w:rsid w:val="00C26E8E"/>
    <w:rsid w:val="00C271A0"/>
    <w:rsid w:val="00C30C57"/>
    <w:rsid w:val="00C30ED2"/>
    <w:rsid w:val="00C330CF"/>
    <w:rsid w:val="00C345F1"/>
    <w:rsid w:val="00C34DF8"/>
    <w:rsid w:val="00C361DE"/>
    <w:rsid w:val="00C3760F"/>
    <w:rsid w:val="00C407E4"/>
    <w:rsid w:val="00C4115F"/>
    <w:rsid w:val="00C41B15"/>
    <w:rsid w:val="00C430C6"/>
    <w:rsid w:val="00C44088"/>
    <w:rsid w:val="00C44B3E"/>
    <w:rsid w:val="00C45461"/>
    <w:rsid w:val="00C45AD2"/>
    <w:rsid w:val="00C47A9B"/>
    <w:rsid w:val="00C52ABF"/>
    <w:rsid w:val="00C530E0"/>
    <w:rsid w:val="00C53353"/>
    <w:rsid w:val="00C5367B"/>
    <w:rsid w:val="00C53775"/>
    <w:rsid w:val="00C541FF"/>
    <w:rsid w:val="00C5589F"/>
    <w:rsid w:val="00C56F01"/>
    <w:rsid w:val="00C60632"/>
    <w:rsid w:val="00C60932"/>
    <w:rsid w:val="00C609F1"/>
    <w:rsid w:val="00C60B4D"/>
    <w:rsid w:val="00C6166B"/>
    <w:rsid w:val="00C623AE"/>
    <w:rsid w:val="00C64BFC"/>
    <w:rsid w:val="00C65741"/>
    <w:rsid w:val="00C65B75"/>
    <w:rsid w:val="00C65FDB"/>
    <w:rsid w:val="00C70584"/>
    <w:rsid w:val="00C71785"/>
    <w:rsid w:val="00C71B86"/>
    <w:rsid w:val="00C72709"/>
    <w:rsid w:val="00C72850"/>
    <w:rsid w:val="00C7471D"/>
    <w:rsid w:val="00C75026"/>
    <w:rsid w:val="00C76BDF"/>
    <w:rsid w:val="00C77FAA"/>
    <w:rsid w:val="00C80E6B"/>
    <w:rsid w:val="00C80EA8"/>
    <w:rsid w:val="00C81310"/>
    <w:rsid w:val="00C81845"/>
    <w:rsid w:val="00C8318F"/>
    <w:rsid w:val="00C835E5"/>
    <w:rsid w:val="00C84F2D"/>
    <w:rsid w:val="00C8531D"/>
    <w:rsid w:val="00C85512"/>
    <w:rsid w:val="00C85744"/>
    <w:rsid w:val="00C85AB9"/>
    <w:rsid w:val="00C861DF"/>
    <w:rsid w:val="00C86A96"/>
    <w:rsid w:val="00C86EE0"/>
    <w:rsid w:val="00C914BA"/>
    <w:rsid w:val="00C927F0"/>
    <w:rsid w:val="00C92D74"/>
    <w:rsid w:val="00C942F9"/>
    <w:rsid w:val="00C94E43"/>
    <w:rsid w:val="00C957AD"/>
    <w:rsid w:val="00C9759B"/>
    <w:rsid w:val="00CA0151"/>
    <w:rsid w:val="00CA0351"/>
    <w:rsid w:val="00CA14A8"/>
    <w:rsid w:val="00CA16A6"/>
    <w:rsid w:val="00CA1C40"/>
    <w:rsid w:val="00CA226B"/>
    <w:rsid w:val="00CA2A92"/>
    <w:rsid w:val="00CA3377"/>
    <w:rsid w:val="00CA49BD"/>
    <w:rsid w:val="00CA58A0"/>
    <w:rsid w:val="00CA6B34"/>
    <w:rsid w:val="00CB06B0"/>
    <w:rsid w:val="00CB0EF3"/>
    <w:rsid w:val="00CB1B58"/>
    <w:rsid w:val="00CB3322"/>
    <w:rsid w:val="00CB44B0"/>
    <w:rsid w:val="00CB4AB7"/>
    <w:rsid w:val="00CB4E70"/>
    <w:rsid w:val="00CB5193"/>
    <w:rsid w:val="00CB51A6"/>
    <w:rsid w:val="00CB5C23"/>
    <w:rsid w:val="00CB6AE1"/>
    <w:rsid w:val="00CB6EFA"/>
    <w:rsid w:val="00CB728A"/>
    <w:rsid w:val="00CB75BE"/>
    <w:rsid w:val="00CC097F"/>
    <w:rsid w:val="00CC1484"/>
    <w:rsid w:val="00CC175D"/>
    <w:rsid w:val="00CC1B8E"/>
    <w:rsid w:val="00CC359A"/>
    <w:rsid w:val="00CC36EE"/>
    <w:rsid w:val="00CC4F01"/>
    <w:rsid w:val="00CC5541"/>
    <w:rsid w:val="00CC5753"/>
    <w:rsid w:val="00CC5C8C"/>
    <w:rsid w:val="00CC6B3D"/>
    <w:rsid w:val="00CC7473"/>
    <w:rsid w:val="00CC7772"/>
    <w:rsid w:val="00CD1766"/>
    <w:rsid w:val="00CD3D45"/>
    <w:rsid w:val="00CD48CA"/>
    <w:rsid w:val="00CD5F96"/>
    <w:rsid w:val="00CD6631"/>
    <w:rsid w:val="00CE0978"/>
    <w:rsid w:val="00CE15E1"/>
    <w:rsid w:val="00CE1865"/>
    <w:rsid w:val="00CE2887"/>
    <w:rsid w:val="00CE2D03"/>
    <w:rsid w:val="00CE7A70"/>
    <w:rsid w:val="00CF0386"/>
    <w:rsid w:val="00CF045F"/>
    <w:rsid w:val="00CF22CE"/>
    <w:rsid w:val="00CF39DE"/>
    <w:rsid w:val="00CF65DB"/>
    <w:rsid w:val="00CF6DCA"/>
    <w:rsid w:val="00CF7751"/>
    <w:rsid w:val="00D004E9"/>
    <w:rsid w:val="00D0112A"/>
    <w:rsid w:val="00D015C2"/>
    <w:rsid w:val="00D01773"/>
    <w:rsid w:val="00D01FC4"/>
    <w:rsid w:val="00D021F9"/>
    <w:rsid w:val="00D02581"/>
    <w:rsid w:val="00D0491C"/>
    <w:rsid w:val="00D05383"/>
    <w:rsid w:val="00D05904"/>
    <w:rsid w:val="00D05B46"/>
    <w:rsid w:val="00D062BB"/>
    <w:rsid w:val="00D104F9"/>
    <w:rsid w:val="00D10556"/>
    <w:rsid w:val="00D1182A"/>
    <w:rsid w:val="00D1215A"/>
    <w:rsid w:val="00D133F2"/>
    <w:rsid w:val="00D1373A"/>
    <w:rsid w:val="00D13985"/>
    <w:rsid w:val="00D15F0A"/>
    <w:rsid w:val="00D16E48"/>
    <w:rsid w:val="00D172FA"/>
    <w:rsid w:val="00D17405"/>
    <w:rsid w:val="00D17D1A"/>
    <w:rsid w:val="00D21C65"/>
    <w:rsid w:val="00D22392"/>
    <w:rsid w:val="00D22B56"/>
    <w:rsid w:val="00D24E88"/>
    <w:rsid w:val="00D25356"/>
    <w:rsid w:val="00D25681"/>
    <w:rsid w:val="00D27803"/>
    <w:rsid w:val="00D32974"/>
    <w:rsid w:val="00D333FD"/>
    <w:rsid w:val="00D336EB"/>
    <w:rsid w:val="00D36120"/>
    <w:rsid w:val="00D37724"/>
    <w:rsid w:val="00D37733"/>
    <w:rsid w:val="00D42A4A"/>
    <w:rsid w:val="00D43299"/>
    <w:rsid w:val="00D43733"/>
    <w:rsid w:val="00D45080"/>
    <w:rsid w:val="00D4617D"/>
    <w:rsid w:val="00D47B95"/>
    <w:rsid w:val="00D50994"/>
    <w:rsid w:val="00D51459"/>
    <w:rsid w:val="00D52D38"/>
    <w:rsid w:val="00D53BF6"/>
    <w:rsid w:val="00D53E37"/>
    <w:rsid w:val="00D54924"/>
    <w:rsid w:val="00D55312"/>
    <w:rsid w:val="00D56361"/>
    <w:rsid w:val="00D56800"/>
    <w:rsid w:val="00D56A57"/>
    <w:rsid w:val="00D60EDA"/>
    <w:rsid w:val="00D61A82"/>
    <w:rsid w:val="00D62182"/>
    <w:rsid w:val="00D62E6F"/>
    <w:rsid w:val="00D62F60"/>
    <w:rsid w:val="00D632A1"/>
    <w:rsid w:val="00D64798"/>
    <w:rsid w:val="00D64931"/>
    <w:rsid w:val="00D649C2"/>
    <w:rsid w:val="00D66C4F"/>
    <w:rsid w:val="00D67FEC"/>
    <w:rsid w:val="00D717F6"/>
    <w:rsid w:val="00D72857"/>
    <w:rsid w:val="00D73161"/>
    <w:rsid w:val="00D74E45"/>
    <w:rsid w:val="00D75EB6"/>
    <w:rsid w:val="00D76C10"/>
    <w:rsid w:val="00D80FBE"/>
    <w:rsid w:val="00D819BF"/>
    <w:rsid w:val="00D81BF4"/>
    <w:rsid w:val="00D82A7A"/>
    <w:rsid w:val="00D82EF4"/>
    <w:rsid w:val="00D83161"/>
    <w:rsid w:val="00D84003"/>
    <w:rsid w:val="00D845DE"/>
    <w:rsid w:val="00D85419"/>
    <w:rsid w:val="00D8542A"/>
    <w:rsid w:val="00D86F5D"/>
    <w:rsid w:val="00D90019"/>
    <w:rsid w:val="00D90DF9"/>
    <w:rsid w:val="00D92CFD"/>
    <w:rsid w:val="00D93A3E"/>
    <w:rsid w:val="00D93DD1"/>
    <w:rsid w:val="00D941A1"/>
    <w:rsid w:val="00D947B5"/>
    <w:rsid w:val="00D9558D"/>
    <w:rsid w:val="00D9686F"/>
    <w:rsid w:val="00D96B8E"/>
    <w:rsid w:val="00D9761D"/>
    <w:rsid w:val="00D977A0"/>
    <w:rsid w:val="00DA0921"/>
    <w:rsid w:val="00DA1256"/>
    <w:rsid w:val="00DA152D"/>
    <w:rsid w:val="00DA189C"/>
    <w:rsid w:val="00DA1B31"/>
    <w:rsid w:val="00DA29B9"/>
    <w:rsid w:val="00DA2E6A"/>
    <w:rsid w:val="00DA4A10"/>
    <w:rsid w:val="00DA62B6"/>
    <w:rsid w:val="00DA6B5F"/>
    <w:rsid w:val="00DA7C86"/>
    <w:rsid w:val="00DB17C0"/>
    <w:rsid w:val="00DB3687"/>
    <w:rsid w:val="00DB37DC"/>
    <w:rsid w:val="00DB4294"/>
    <w:rsid w:val="00DB4F42"/>
    <w:rsid w:val="00DB563D"/>
    <w:rsid w:val="00DB5909"/>
    <w:rsid w:val="00DB5AFD"/>
    <w:rsid w:val="00DB69EC"/>
    <w:rsid w:val="00DB6AE6"/>
    <w:rsid w:val="00DB70C3"/>
    <w:rsid w:val="00DB7361"/>
    <w:rsid w:val="00DC0571"/>
    <w:rsid w:val="00DC1EA4"/>
    <w:rsid w:val="00DC2688"/>
    <w:rsid w:val="00DC2E7B"/>
    <w:rsid w:val="00DC32A0"/>
    <w:rsid w:val="00DC32F4"/>
    <w:rsid w:val="00DC543C"/>
    <w:rsid w:val="00DC7419"/>
    <w:rsid w:val="00DC7658"/>
    <w:rsid w:val="00DD108B"/>
    <w:rsid w:val="00DD1331"/>
    <w:rsid w:val="00DD1892"/>
    <w:rsid w:val="00DD33BB"/>
    <w:rsid w:val="00DD4084"/>
    <w:rsid w:val="00DD67D8"/>
    <w:rsid w:val="00DD6ADA"/>
    <w:rsid w:val="00DD7CA0"/>
    <w:rsid w:val="00DE0AB1"/>
    <w:rsid w:val="00DE1CC4"/>
    <w:rsid w:val="00DE2258"/>
    <w:rsid w:val="00DE33F5"/>
    <w:rsid w:val="00DF02F4"/>
    <w:rsid w:val="00DF1450"/>
    <w:rsid w:val="00DF1CBA"/>
    <w:rsid w:val="00DF1DEB"/>
    <w:rsid w:val="00DF1EB4"/>
    <w:rsid w:val="00DF2BF6"/>
    <w:rsid w:val="00DF3AA6"/>
    <w:rsid w:val="00DF4BF8"/>
    <w:rsid w:val="00DF52C2"/>
    <w:rsid w:val="00DF7764"/>
    <w:rsid w:val="00DF7C77"/>
    <w:rsid w:val="00E003E8"/>
    <w:rsid w:val="00E007B7"/>
    <w:rsid w:val="00E00C77"/>
    <w:rsid w:val="00E01EA6"/>
    <w:rsid w:val="00E02390"/>
    <w:rsid w:val="00E02F96"/>
    <w:rsid w:val="00E069D5"/>
    <w:rsid w:val="00E074E3"/>
    <w:rsid w:val="00E07A7C"/>
    <w:rsid w:val="00E07AB6"/>
    <w:rsid w:val="00E10C95"/>
    <w:rsid w:val="00E129DA"/>
    <w:rsid w:val="00E12D3B"/>
    <w:rsid w:val="00E12EA2"/>
    <w:rsid w:val="00E12F79"/>
    <w:rsid w:val="00E13208"/>
    <w:rsid w:val="00E14989"/>
    <w:rsid w:val="00E14CC3"/>
    <w:rsid w:val="00E15067"/>
    <w:rsid w:val="00E15B0A"/>
    <w:rsid w:val="00E17599"/>
    <w:rsid w:val="00E17833"/>
    <w:rsid w:val="00E211B9"/>
    <w:rsid w:val="00E25130"/>
    <w:rsid w:val="00E260E5"/>
    <w:rsid w:val="00E261D8"/>
    <w:rsid w:val="00E265B4"/>
    <w:rsid w:val="00E26829"/>
    <w:rsid w:val="00E30B96"/>
    <w:rsid w:val="00E315F7"/>
    <w:rsid w:val="00E31771"/>
    <w:rsid w:val="00E317AD"/>
    <w:rsid w:val="00E343A0"/>
    <w:rsid w:val="00E34E8B"/>
    <w:rsid w:val="00E35319"/>
    <w:rsid w:val="00E3639A"/>
    <w:rsid w:val="00E3643E"/>
    <w:rsid w:val="00E3689D"/>
    <w:rsid w:val="00E36C47"/>
    <w:rsid w:val="00E36E7C"/>
    <w:rsid w:val="00E409B4"/>
    <w:rsid w:val="00E42826"/>
    <w:rsid w:val="00E42C15"/>
    <w:rsid w:val="00E44168"/>
    <w:rsid w:val="00E44D1F"/>
    <w:rsid w:val="00E44E34"/>
    <w:rsid w:val="00E453A1"/>
    <w:rsid w:val="00E46FD0"/>
    <w:rsid w:val="00E4704F"/>
    <w:rsid w:val="00E47C5C"/>
    <w:rsid w:val="00E5153F"/>
    <w:rsid w:val="00E56026"/>
    <w:rsid w:val="00E57678"/>
    <w:rsid w:val="00E57E98"/>
    <w:rsid w:val="00E57F38"/>
    <w:rsid w:val="00E63003"/>
    <w:rsid w:val="00E631F8"/>
    <w:rsid w:val="00E6395F"/>
    <w:rsid w:val="00E64924"/>
    <w:rsid w:val="00E64A10"/>
    <w:rsid w:val="00E66715"/>
    <w:rsid w:val="00E67862"/>
    <w:rsid w:val="00E67F8B"/>
    <w:rsid w:val="00E720B5"/>
    <w:rsid w:val="00E72517"/>
    <w:rsid w:val="00E72AAA"/>
    <w:rsid w:val="00E73FDF"/>
    <w:rsid w:val="00E7595E"/>
    <w:rsid w:val="00E80174"/>
    <w:rsid w:val="00E81409"/>
    <w:rsid w:val="00E82D20"/>
    <w:rsid w:val="00E82E19"/>
    <w:rsid w:val="00E84083"/>
    <w:rsid w:val="00E84882"/>
    <w:rsid w:val="00E8525A"/>
    <w:rsid w:val="00E8603B"/>
    <w:rsid w:val="00E86E04"/>
    <w:rsid w:val="00E87BB1"/>
    <w:rsid w:val="00E91BFF"/>
    <w:rsid w:val="00E91E5F"/>
    <w:rsid w:val="00E93D52"/>
    <w:rsid w:val="00E95F50"/>
    <w:rsid w:val="00E9621C"/>
    <w:rsid w:val="00E9681A"/>
    <w:rsid w:val="00E97B2B"/>
    <w:rsid w:val="00EA09F0"/>
    <w:rsid w:val="00EA0D06"/>
    <w:rsid w:val="00EA1B43"/>
    <w:rsid w:val="00EA1E76"/>
    <w:rsid w:val="00EA1FB7"/>
    <w:rsid w:val="00EA2371"/>
    <w:rsid w:val="00EA5881"/>
    <w:rsid w:val="00EA6722"/>
    <w:rsid w:val="00EA6BCA"/>
    <w:rsid w:val="00EB0086"/>
    <w:rsid w:val="00EB1B21"/>
    <w:rsid w:val="00EB205A"/>
    <w:rsid w:val="00EB2D48"/>
    <w:rsid w:val="00EB404C"/>
    <w:rsid w:val="00EB4E49"/>
    <w:rsid w:val="00EB4F1A"/>
    <w:rsid w:val="00EB71A2"/>
    <w:rsid w:val="00EC1784"/>
    <w:rsid w:val="00EC1BC9"/>
    <w:rsid w:val="00EC2440"/>
    <w:rsid w:val="00EC2784"/>
    <w:rsid w:val="00EC36BE"/>
    <w:rsid w:val="00EC3BF3"/>
    <w:rsid w:val="00EC44DD"/>
    <w:rsid w:val="00EC5802"/>
    <w:rsid w:val="00EC7B26"/>
    <w:rsid w:val="00ED05A0"/>
    <w:rsid w:val="00ED18A9"/>
    <w:rsid w:val="00ED29B1"/>
    <w:rsid w:val="00ED2FD8"/>
    <w:rsid w:val="00ED37FF"/>
    <w:rsid w:val="00ED3ADE"/>
    <w:rsid w:val="00ED3D57"/>
    <w:rsid w:val="00ED41D7"/>
    <w:rsid w:val="00ED44CE"/>
    <w:rsid w:val="00ED5687"/>
    <w:rsid w:val="00ED6AF9"/>
    <w:rsid w:val="00ED7112"/>
    <w:rsid w:val="00ED7C20"/>
    <w:rsid w:val="00ED7F38"/>
    <w:rsid w:val="00EE13D0"/>
    <w:rsid w:val="00EE4B7E"/>
    <w:rsid w:val="00EE58EC"/>
    <w:rsid w:val="00EE5C72"/>
    <w:rsid w:val="00EE67D8"/>
    <w:rsid w:val="00EE7C71"/>
    <w:rsid w:val="00EF0B3D"/>
    <w:rsid w:val="00EF1ECE"/>
    <w:rsid w:val="00EF2947"/>
    <w:rsid w:val="00EF3B51"/>
    <w:rsid w:val="00EF3D06"/>
    <w:rsid w:val="00EF3E28"/>
    <w:rsid w:val="00EF45FC"/>
    <w:rsid w:val="00EF494E"/>
    <w:rsid w:val="00EF4D5B"/>
    <w:rsid w:val="00EF55DF"/>
    <w:rsid w:val="00EF56FC"/>
    <w:rsid w:val="00EF576F"/>
    <w:rsid w:val="00EF65A9"/>
    <w:rsid w:val="00EF661C"/>
    <w:rsid w:val="00EF7125"/>
    <w:rsid w:val="00F00915"/>
    <w:rsid w:val="00F01976"/>
    <w:rsid w:val="00F01F4B"/>
    <w:rsid w:val="00F02196"/>
    <w:rsid w:val="00F027BF"/>
    <w:rsid w:val="00F03639"/>
    <w:rsid w:val="00F03CDC"/>
    <w:rsid w:val="00F04293"/>
    <w:rsid w:val="00F04466"/>
    <w:rsid w:val="00F04610"/>
    <w:rsid w:val="00F05074"/>
    <w:rsid w:val="00F061DE"/>
    <w:rsid w:val="00F07172"/>
    <w:rsid w:val="00F1011B"/>
    <w:rsid w:val="00F10EE0"/>
    <w:rsid w:val="00F155FF"/>
    <w:rsid w:val="00F162ED"/>
    <w:rsid w:val="00F174D2"/>
    <w:rsid w:val="00F174D4"/>
    <w:rsid w:val="00F22F2B"/>
    <w:rsid w:val="00F242ED"/>
    <w:rsid w:val="00F24F96"/>
    <w:rsid w:val="00F25170"/>
    <w:rsid w:val="00F251C1"/>
    <w:rsid w:val="00F267F3"/>
    <w:rsid w:val="00F27A8B"/>
    <w:rsid w:val="00F30F77"/>
    <w:rsid w:val="00F31539"/>
    <w:rsid w:val="00F31849"/>
    <w:rsid w:val="00F3225F"/>
    <w:rsid w:val="00F33274"/>
    <w:rsid w:val="00F33596"/>
    <w:rsid w:val="00F33643"/>
    <w:rsid w:val="00F33A55"/>
    <w:rsid w:val="00F348C1"/>
    <w:rsid w:val="00F403A4"/>
    <w:rsid w:val="00F42E0F"/>
    <w:rsid w:val="00F43386"/>
    <w:rsid w:val="00F441A4"/>
    <w:rsid w:val="00F44CF1"/>
    <w:rsid w:val="00F45B78"/>
    <w:rsid w:val="00F45CDC"/>
    <w:rsid w:val="00F47534"/>
    <w:rsid w:val="00F50226"/>
    <w:rsid w:val="00F51D1A"/>
    <w:rsid w:val="00F53A02"/>
    <w:rsid w:val="00F5405F"/>
    <w:rsid w:val="00F54F2D"/>
    <w:rsid w:val="00F54F76"/>
    <w:rsid w:val="00F55B66"/>
    <w:rsid w:val="00F62591"/>
    <w:rsid w:val="00F640E6"/>
    <w:rsid w:val="00F6530A"/>
    <w:rsid w:val="00F6626C"/>
    <w:rsid w:val="00F666F8"/>
    <w:rsid w:val="00F6677D"/>
    <w:rsid w:val="00F668EB"/>
    <w:rsid w:val="00F679A0"/>
    <w:rsid w:val="00F72B47"/>
    <w:rsid w:val="00F72F9E"/>
    <w:rsid w:val="00F75CFF"/>
    <w:rsid w:val="00F76159"/>
    <w:rsid w:val="00F77605"/>
    <w:rsid w:val="00F801A5"/>
    <w:rsid w:val="00F80309"/>
    <w:rsid w:val="00F8095A"/>
    <w:rsid w:val="00F81CEB"/>
    <w:rsid w:val="00F82A50"/>
    <w:rsid w:val="00F82B6C"/>
    <w:rsid w:val="00F82F34"/>
    <w:rsid w:val="00F838FC"/>
    <w:rsid w:val="00F84B9E"/>
    <w:rsid w:val="00F84DEA"/>
    <w:rsid w:val="00F8586D"/>
    <w:rsid w:val="00F86089"/>
    <w:rsid w:val="00F8643D"/>
    <w:rsid w:val="00F8670D"/>
    <w:rsid w:val="00F86DF3"/>
    <w:rsid w:val="00F87851"/>
    <w:rsid w:val="00F916FA"/>
    <w:rsid w:val="00F9226D"/>
    <w:rsid w:val="00F9269B"/>
    <w:rsid w:val="00F92D12"/>
    <w:rsid w:val="00F93CF8"/>
    <w:rsid w:val="00F93D33"/>
    <w:rsid w:val="00F9457B"/>
    <w:rsid w:val="00F949E9"/>
    <w:rsid w:val="00F96433"/>
    <w:rsid w:val="00F9739D"/>
    <w:rsid w:val="00FA15BD"/>
    <w:rsid w:val="00FA1A81"/>
    <w:rsid w:val="00FA2CB1"/>
    <w:rsid w:val="00FA35B0"/>
    <w:rsid w:val="00FA40F4"/>
    <w:rsid w:val="00FA4755"/>
    <w:rsid w:val="00FA523C"/>
    <w:rsid w:val="00FA5943"/>
    <w:rsid w:val="00FA5DAA"/>
    <w:rsid w:val="00FA5FA8"/>
    <w:rsid w:val="00FA6824"/>
    <w:rsid w:val="00FA6D59"/>
    <w:rsid w:val="00FB0476"/>
    <w:rsid w:val="00FB0815"/>
    <w:rsid w:val="00FB0867"/>
    <w:rsid w:val="00FB17DF"/>
    <w:rsid w:val="00FB3D10"/>
    <w:rsid w:val="00FB3FC8"/>
    <w:rsid w:val="00FB4386"/>
    <w:rsid w:val="00FB580C"/>
    <w:rsid w:val="00FB650E"/>
    <w:rsid w:val="00FB7603"/>
    <w:rsid w:val="00FC0F5C"/>
    <w:rsid w:val="00FC19A1"/>
    <w:rsid w:val="00FC1A94"/>
    <w:rsid w:val="00FC2DA0"/>
    <w:rsid w:val="00FC2FB9"/>
    <w:rsid w:val="00FC3ACD"/>
    <w:rsid w:val="00FC45D7"/>
    <w:rsid w:val="00FC5AD1"/>
    <w:rsid w:val="00FC77CD"/>
    <w:rsid w:val="00FC78A3"/>
    <w:rsid w:val="00FD0652"/>
    <w:rsid w:val="00FD1B50"/>
    <w:rsid w:val="00FD2850"/>
    <w:rsid w:val="00FD2C15"/>
    <w:rsid w:val="00FD2FAC"/>
    <w:rsid w:val="00FD3409"/>
    <w:rsid w:val="00FD400F"/>
    <w:rsid w:val="00FD44B2"/>
    <w:rsid w:val="00FD4AA1"/>
    <w:rsid w:val="00FD6897"/>
    <w:rsid w:val="00FD6C02"/>
    <w:rsid w:val="00FE1BCE"/>
    <w:rsid w:val="00FE3CFF"/>
    <w:rsid w:val="00FE3E87"/>
    <w:rsid w:val="00FE42F9"/>
    <w:rsid w:val="00FE4F12"/>
    <w:rsid w:val="00FE6EAD"/>
    <w:rsid w:val="00FE6F3F"/>
    <w:rsid w:val="00FF0089"/>
    <w:rsid w:val="00FF00DB"/>
    <w:rsid w:val="00FF22A3"/>
    <w:rsid w:val="00FF3C8F"/>
    <w:rsid w:val="00FF402D"/>
    <w:rsid w:val="00FF46AE"/>
    <w:rsid w:val="00FF4C1C"/>
    <w:rsid w:val="00FF7681"/>
    <w:rsid w:val="00FF79A6"/>
    <w:rsid w:val="00FF7BC7"/>
    <w:rsid w:val="01715A9F"/>
    <w:rsid w:val="01B42948"/>
    <w:rsid w:val="021C2725"/>
    <w:rsid w:val="0291197B"/>
    <w:rsid w:val="029B6DF5"/>
    <w:rsid w:val="034867D4"/>
    <w:rsid w:val="036C3130"/>
    <w:rsid w:val="037A7D3D"/>
    <w:rsid w:val="03994E5F"/>
    <w:rsid w:val="04510AB8"/>
    <w:rsid w:val="045A6A2B"/>
    <w:rsid w:val="04691916"/>
    <w:rsid w:val="047210F2"/>
    <w:rsid w:val="04B6223A"/>
    <w:rsid w:val="04C82D58"/>
    <w:rsid w:val="04DA2BC7"/>
    <w:rsid w:val="04FB1161"/>
    <w:rsid w:val="052501B9"/>
    <w:rsid w:val="053657E7"/>
    <w:rsid w:val="05594D17"/>
    <w:rsid w:val="06210BAF"/>
    <w:rsid w:val="06B150D9"/>
    <w:rsid w:val="06D51EB2"/>
    <w:rsid w:val="075346A3"/>
    <w:rsid w:val="075E30F1"/>
    <w:rsid w:val="07726BAA"/>
    <w:rsid w:val="078E5B6C"/>
    <w:rsid w:val="08167E23"/>
    <w:rsid w:val="09C62872"/>
    <w:rsid w:val="09D34A99"/>
    <w:rsid w:val="09FE7467"/>
    <w:rsid w:val="0A191246"/>
    <w:rsid w:val="0A256AAC"/>
    <w:rsid w:val="0A471AF2"/>
    <w:rsid w:val="0A747288"/>
    <w:rsid w:val="0ACF3EEA"/>
    <w:rsid w:val="0BF70001"/>
    <w:rsid w:val="0C187137"/>
    <w:rsid w:val="0C63304C"/>
    <w:rsid w:val="0C6B597C"/>
    <w:rsid w:val="0C95560D"/>
    <w:rsid w:val="0CA21D1B"/>
    <w:rsid w:val="0D1E3F11"/>
    <w:rsid w:val="0DB8556E"/>
    <w:rsid w:val="0DE060EF"/>
    <w:rsid w:val="0E065DBC"/>
    <w:rsid w:val="0E076C0A"/>
    <w:rsid w:val="0E942A0F"/>
    <w:rsid w:val="0E942E01"/>
    <w:rsid w:val="0F2702A1"/>
    <w:rsid w:val="0F804ACE"/>
    <w:rsid w:val="0F956061"/>
    <w:rsid w:val="10171613"/>
    <w:rsid w:val="10340DB1"/>
    <w:rsid w:val="10370EB3"/>
    <w:rsid w:val="10A1277E"/>
    <w:rsid w:val="112E247E"/>
    <w:rsid w:val="119C5B24"/>
    <w:rsid w:val="11CF532E"/>
    <w:rsid w:val="1217232F"/>
    <w:rsid w:val="122B21C4"/>
    <w:rsid w:val="123C3F17"/>
    <w:rsid w:val="125521FF"/>
    <w:rsid w:val="130E4C6D"/>
    <w:rsid w:val="145320B2"/>
    <w:rsid w:val="146C736B"/>
    <w:rsid w:val="14807554"/>
    <w:rsid w:val="149A106C"/>
    <w:rsid w:val="150D6475"/>
    <w:rsid w:val="1595300C"/>
    <w:rsid w:val="15D45498"/>
    <w:rsid w:val="15EC48C7"/>
    <w:rsid w:val="16774E20"/>
    <w:rsid w:val="1692758E"/>
    <w:rsid w:val="16F42450"/>
    <w:rsid w:val="17462E4F"/>
    <w:rsid w:val="176029F8"/>
    <w:rsid w:val="17AA012D"/>
    <w:rsid w:val="17E0302A"/>
    <w:rsid w:val="189A6BA2"/>
    <w:rsid w:val="19706CFD"/>
    <w:rsid w:val="19B01E58"/>
    <w:rsid w:val="19C929B4"/>
    <w:rsid w:val="1AA90AA6"/>
    <w:rsid w:val="1ACF4EEE"/>
    <w:rsid w:val="1AD70BEE"/>
    <w:rsid w:val="1ADA1F5B"/>
    <w:rsid w:val="1B1F56E9"/>
    <w:rsid w:val="1B37497A"/>
    <w:rsid w:val="1BB06B27"/>
    <w:rsid w:val="1BB42CE9"/>
    <w:rsid w:val="1BE66370"/>
    <w:rsid w:val="1CA93104"/>
    <w:rsid w:val="1CC772EC"/>
    <w:rsid w:val="1D5D0B0F"/>
    <w:rsid w:val="1D7E6E01"/>
    <w:rsid w:val="1DCC2E59"/>
    <w:rsid w:val="1E132F64"/>
    <w:rsid w:val="1E2A5FB5"/>
    <w:rsid w:val="1E3C1E4C"/>
    <w:rsid w:val="1E4E7146"/>
    <w:rsid w:val="1E8B02C5"/>
    <w:rsid w:val="1EBA7F49"/>
    <w:rsid w:val="1F0E1492"/>
    <w:rsid w:val="1F9302AD"/>
    <w:rsid w:val="20937C2D"/>
    <w:rsid w:val="21333664"/>
    <w:rsid w:val="215C535A"/>
    <w:rsid w:val="216470CC"/>
    <w:rsid w:val="21857476"/>
    <w:rsid w:val="21A263D7"/>
    <w:rsid w:val="21C902AC"/>
    <w:rsid w:val="21D57D3B"/>
    <w:rsid w:val="220C1438"/>
    <w:rsid w:val="23471A52"/>
    <w:rsid w:val="23684EB8"/>
    <w:rsid w:val="23CA1D79"/>
    <w:rsid w:val="23F0581A"/>
    <w:rsid w:val="23F35D28"/>
    <w:rsid w:val="24354C79"/>
    <w:rsid w:val="247E7217"/>
    <w:rsid w:val="24D7713F"/>
    <w:rsid w:val="24EB2E3F"/>
    <w:rsid w:val="25031D79"/>
    <w:rsid w:val="25A62503"/>
    <w:rsid w:val="25D21B44"/>
    <w:rsid w:val="265E764D"/>
    <w:rsid w:val="2666313B"/>
    <w:rsid w:val="2681019B"/>
    <w:rsid w:val="2682502D"/>
    <w:rsid w:val="26955DA2"/>
    <w:rsid w:val="26993E84"/>
    <w:rsid w:val="26B40DFE"/>
    <w:rsid w:val="26F35838"/>
    <w:rsid w:val="270B19C1"/>
    <w:rsid w:val="27222261"/>
    <w:rsid w:val="27A873F9"/>
    <w:rsid w:val="27AD4333"/>
    <w:rsid w:val="27E3626C"/>
    <w:rsid w:val="28B22E8E"/>
    <w:rsid w:val="28DA290F"/>
    <w:rsid w:val="293B7F53"/>
    <w:rsid w:val="29446648"/>
    <w:rsid w:val="29482BFC"/>
    <w:rsid w:val="29847253"/>
    <w:rsid w:val="29AE18A7"/>
    <w:rsid w:val="29B33022"/>
    <w:rsid w:val="2A091612"/>
    <w:rsid w:val="2A0F55FC"/>
    <w:rsid w:val="2A2349AC"/>
    <w:rsid w:val="2A4F763E"/>
    <w:rsid w:val="2B0E1505"/>
    <w:rsid w:val="2B1A47D3"/>
    <w:rsid w:val="2B2D61F7"/>
    <w:rsid w:val="2B6E50FF"/>
    <w:rsid w:val="2B7C05C4"/>
    <w:rsid w:val="2BA331BF"/>
    <w:rsid w:val="2BE64DD1"/>
    <w:rsid w:val="2BEE3E4A"/>
    <w:rsid w:val="2C000512"/>
    <w:rsid w:val="2C08147F"/>
    <w:rsid w:val="2C240DFD"/>
    <w:rsid w:val="2C5405EC"/>
    <w:rsid w:val="2CC86E6A"/>
    <w:rsid w:val="2CCB5B94"/>
    <w:rsid w:val="2CE266E3"/>
    <w:rsid w:val="2CF21E85"/>
    <w:rsid w:val="2E341005"/>
    <w:rsid w:val="2E401D76"/>
    <w:rsid w:val="2E7B6146"/>
    <w:rsid w:val="2E871FC6"/>
    <w:rsid w:val="2EE61F9C"/>
    <w:rsid w:val="2F0E1F4C"/>
    <w:rsid w:val="2F1B15D9"/>
    <w:rsid w:val="2F5D3E35"/>
    <w:rsid w:val="2FE17A70"/>
    <w:rsid w:val="304A560C"/>
    <w:rsid w:val="30991757"/>
    <w:rsid w:val="30A25049"/>
    <w:rsid w:val="30B73737"/>
    <w:rsid w:val="30BD4EB9"/>
    <w:rsid w:val="30EC686F"/>
    <w:rsid w:val="311C0305"/>
    <w:rsid w:val="31B85E0A"/>
    <w:rsid w:val="321C2755"/>
    <w:rsid w:val="32245754"/>
    <w:rsid w:val="32302F09"/>
    <w:rsid w:val="323B36A0"/>
    <w:rsid w:val="32847649"/>
    <w:rsid w:val="329F3B6C"/>
    <w:rsid w:val="32DD7D5B"/>
    <w:rsid w:val="32F82D9E"/>
    <w:rsid w:val="330917A8"/>
    <w:rsid w:val="34776276"/>
    <w:rsid w:val="34CF4483"/>
    <w:rsid w:val="34E54CF4"/>
    <w:rsid w:val="35E55B56"/>
    <w:rsid w:val="36EF328D"/>
    <w:rsid w:val="36F20FE4"/>
    <w:rsid w:val="37784BA3"/>
    <w:rsid w:val="37F63D73"/>
    <w:rsid w:val="380413FF"/>
    <w:rsid w:val="382F63B4"/>
    <w:rsid w:val="3878336A"/>
    <w:rsid w:val="38B967F1"/>
    <w:rsid w:val="391718B9"/>
    <w:rsid w:val="394E09B1"/>
    <w:rsid w:val="39750CCB"/>
    <w:rsid w:val="3984263C"/>
    <w:rsid w:val="39C21B05"/>
    <w:rsid w:val="39D013C6"/>
    <w:rsid w:val="3A5D7654"/>
    <w:rsid w:val="3A6D2594"/>
    <w:rsid w:val="3ABA13A5"/>
    <w:rsid w:val="3B1B329B"/>
    <w:rsid w:val="3B471803"/>
    <w:rsid w:val="3B504654"/>
    <w:rsid w:val="3B75360F"/>
    <w:rsid w:val="3B7D5B01"/>
    <w:rsid w:val="3B900E83"/>
    <w:rsid w:val="3BD038FF"/>
    <w:rsid w:val="3C151F39"/>
    <w:rsid w:val="3C7B5F48"/>
    <w:rsid w:val="3C990E7D"/>
    <w:rsid w:val="3CEE05EC"/>
    <w:rsid w:val="3F123E87"/>
    <w:rsid w:val="3FA71CF1"/>
    <w:rsid w:val="3FE41C54"/>
    <w:rsid w:val="3FFC1167"/>
    <w:rsid w:val="404F1B20"/>
    <w:rsid w:val="40590B3C"/>
    <w:rsid w:val="40772CD0"/>
    <w:rsid w:val="41DE345A"/>
    <w:rsid w:val="41E05C72"/>
    <w:rsid w:val="41EA6735"/>
    <w:rsid w:val="42053A01"/>
    <w:rsid w:val="4321231D"/>
    <w:rsid w:val="43614311"/>
    <w:rsid w:val="43D055A2"/>
    <w:rsid w:val="43EB1323"/>
    <w:rsid w:val="44694D93"/>
    <w:rsid w:val="447A0C5C"/>
    <w:rsid w:val="44A91ED1"/>
    <w:rsid w:val="454F1778"/>
    <w:rsid w:val="4598450A"/>
    <w:rsid w:val="45C8503F"/>
    <w:rsid w:val="466B369F"/>
    <w:rsid w:val="46D441CD"/>
    <w:rsid w:val="46E838BB"/>
    <w:rsid w:val="4703364E"/>
    <w:rsid w:val="478860C6"/>
    <w:rsid w:val="48062734"/>
    <w:rsid w:val="4970131A"/>
    <w:rsid w:val="49DB358A"/>
    <w:rsid w:val="49F926A3"/>
    <w:rsid w:val="49FA7B25"/>
    <w:rsid w:val="4A4513EC"/>
    <w:rsid w:val="4A8B72E7"/>
    <w:rsid w:val="4AFD32D2"/>
    <w:rsid w:val="4B2F41A9"/>
    <w:rsid w:val="4B5A29A6"/>
    <w:rsid w:val="4B6F486B"/>
    <w:rsid w:val="4BA9741F"/>
    <w:rsid w:val="4C5D0694"/>
    <w:rsid w:val="4C9621BA"/>
    <w:rsid w:val="4CBD1657"/>
    <w:rsid w:val="4CF56EBB"/>
    <w:rsid w:val="4CF80E23"/>
    <w:rsid w:val="4D035424"/>
    <w:rsid w:val="4DDC7FF8"/>
    <w:rsid w:val="4E000364"/>
    <w:rsid w:val="4F0A5646"/>
    <w:rsid w:val="4F62481D"/>
    <w:rsid w:val="4F7E029A"/>
    <w:rsid w:val="502F0930"/>
    <w:rsid w:val="50582DBC"/>
    <w:rsid w:val="5063308A"/>
    <w:rsid w:val="509509D8"/>
    <w:rsid w:val="51224F1B"/>
    <w:rsid w:val="51456191"/>
    <w:rsid w:val="514769E0"/>
    <w:rsid w:val="517F719A"/>
    <w:rsid w:val="51834146"/>
    <w:rsid w:val="522F04AE"/>
    <w:rsid w:val="52317C87"/>
    <w:rsid w:val="526406F5"/>
    <w:rsid w:val="52765216"/>
    <w:rsid w:val="527728F4"/>
    <w:rsid w:val="5277467D"/>
    <w:rsid w:val="52D47913"/>
    <w:rsid w:val="532710C9"/>
    <w:rsid w:val="5354580B"/>
    <w:rsid w:val="535A5F48"/>
    <w:rsid w:val="53EC4453"/>
    <w:rsid w:val="542A7C8A"/>
    <w:rsid w:val="548E3F00"/>
    <w:rsid w:val="54D94552"/>
    <w:rsid w:val="559F537E"/>
    <w:rsid w:val="56057DCD"/>
    <w:rsid w:val="568E5E34"/>
    <w:rsid w:val="569F1AEB"/>
    <w:rsid w:val="56D93627"/>
    <w:rsid w:val="56E54FBE"/>
    <w:rsid w:val="5732524B"/>
    <w:rsid w:val="573D0E98"/>
    <w:rsid w:val="57601B7A"/>
    <w:rsid w:val="578C2B4D"/>
    <w:rsid w:val="58112656"/>
    <w:rsid w:val="589D005C"/>
    <w:rsid w:val="58C90A55"/>
    <w:rsid w:val="58C93C25"/>
    <w:rsid w:val="58CD3249"/>
    <w:rsid w:val="595F43AB"/>
    <w:rsid w:val="59876EEE"/>
    <w:rsid w:val="59BA440D"/>
    <w:rsid w:val="59CB6A06"/>
    <w:rsid w:val="59CB6F88"/>
    <w:rsid w:val="5A225816"/>
    <w:rsid w:val="5A702872"/>
    <w:rsid w:val="5A8904CF"/>
    <w:rsid w:val="5B2C3F53"/>
    <w:rsid w:val="5BB525F2"/>
    <w:rsid w:val="5BBF5C45"/>
    <w:rsid w:val="5BC7229B"/>
    <w:rsid w:val="5BCA29D0"/>
    <w:rsid w:val="5BCB2028"/>
    <w:rsid w:val="5C001078"/>
    <w:rsid w:val="5C383AA5"/>
    <w:rsid w:val="5C3A34CF"/>
    <w:rsid w:val="5C3F42C9"/>
    <w:rsid w:val="5C463947"/>
    <w:rsid w:val="5CAA7ACA"/>
    <w:rsid w:val="5CDB424F"/>
    <w:rsid w:val="5D294CEB"/>
    <w:rsid w:val="5D3740A2"/>
    <w:rsid w:val="5D3A4878"/>
    <w:rsid w:val="5DE9484F"/>
    <w:rsid w:val="5E4A692D"/>
    <w:rsid w:val="5E7C56BD"/>
    <w:rsid w:val="5ED05E93"/>
    <w:rsid w:val="5EE551ED"/>
    <w:rsid w:val="5EE67696"/>
    <w:rsid w:val="5EFB5466"/>
    <w:rsid w:val="60063178"/>
    <w:rsid w:val="60776E8B"/>
    <w:rsid w:val="60B948F4"/>
    <w:rsid w:val="60DE35B1"/>
    <w:rsid w:val="60EE2038"/>
    <w:rsid w:val="60FC4EBD"/>
    <w:rsid w:val="61535959"/>
    <w:rsid w:val="619E7E75"/>
    <w:rsid w:val="61AB13A3"/>
    <w:rsid w:val="6211099A"/>
    <w:rsid w:val="63BB71CB"/>
    <w:rsid w:val="64826B1E"/>
    <w:rsid w:val="64C5011F"/>
    <w:rsid w:val="64DC7E86"/>
    <w:rsid w:val="64E13B69"/>
    <w:rsid w:val="64F95DA6"/>
    <w:rsid w:val="65012DFE"/>
    <w:rsid w:val="652A392A"/>
    <w:rsid w:val="65313143"/>
    <w:rsid w:val="658B5ABB"/>
    <w:rsid w:val="65D127DA"/>
    <w:rsid w:val="660A63B2"/>
    <w:rsid w:val="66277A74"/>
    <w:rsid w:val="6660542B"/>
    <w:rsid w:val="669C4160"/>
    <w:rsid w:val="66BC151E"/>
    <w:rsid w:val="66F50E79"/>
    <w:rsid w:val="66FA4CEC"/>
    <w:rsid w:val="673D1495"/>
    <w:rsid w:val="67561B3E"/>
    <w:rsid w:val="678B644F"/>
    <w:rsid w:val="67C30A38"/>
    <w:rsid w:val="67C665AE"/>
    <w:rsid w:val="67F75FCC"/>
    <w:rsid w:val="690507B3"/>
    <w:rsid w:val="69065487"/>
    <w:rsid w:val="694E08E1"/>
    <w:rsid w:val="69AB1B8E"/>
    <w:rsid w:val="69F81647"/>
    <w:rsid w:val="6A411F6D"/>
    <w:rsid w:val="6A895E23"/>
    <w:rsid w:val="6ACE59B7"/>
    <w:rsid w:val="6ADB4BF6"/>
    <w:rsid w:val="6BA2161F"/>
    <w:rsid w:val="6BB41B18"/>
    <w:rsid w:val="6C0F6B6B"/>
    <w:rsid w:val="6C221CD9"/>
    <w:rsid w:val="6CDB7686"/>
    <w:rsid w:val="6CE42824"/>
    <w:rsid w:val="6D424835"/>
    <w:rsid w:val="6D6A154B"/>
    <w:rsid w:val="6D6A1DD2"/>
    <w:rsid w:val="6E046927"/>
    <w:rsid w:val="6E462053"/>
    <w:rsid w:val="6EBA4B7D"/>
    <w:rsid w:val="6F705BB4"/>
    <w:rsid w:val="6F7D1C53"/>
    <w:rsid w:val="6F944434"/>
    <w:rsid w:val="703076E0"/>
    <w:rsid w:val="709B75D9"/>
    <w:rsid w:val="70A87802"/>
    <w:rsid w:val="70CC458E"/>
    <w:rsid w:val="714B54F6"/>
    <w:rsid w:val="71FB277D"/>
    <w:rsid w:val="71FE24A1"/>
    <w:rsid w:val="72816160"/>
    <w:rsid w:val="728579AC"/>
    <w:rsid w:val="73BF5AA4"/>
    <w:rsid w:val="73F82983"/>
    <w:rsid w:val="73FD5F86"/>
    <w:rsid w:val="742B3548"/>
    <w:rsid w:val="746F2ADE"/>
    <w:rsid w:val="746F67EA"/>
    <w:rsid w:val="756C19C6"/>
    <w:rsid w:val="757D1C5F"/>
    <w:rsid w:val="75DE7575"/>
    <w:rsid w:val="75F71FBC"/>
    <w:rsid w:val="765345E9"/>
    <w:rsid w:val="780F653F"/>
    <w:rsid w:val="782330BB"/>
    <w:rsid w:val="78915BE9"/>
    <w:rsid w:val="7897323A"/>
    <w:rsid w:val="790663DC"/>
    <w:rsid w:val="790B2EA9"/>
    <w:rsid w:val="79EE323A"/>
    <w:rsid w:val="79F82C20"/>
    <w:rsid w:val="7A275F5C"/>
    <w:rsid w:val="7A4872F6"/>
    <w:rsid w:val="7A715348"/>
    <w:rsid w:val="7AA80FC8"/>
    <w:rsid w:val="7B52375F"/>
    <w:rsid w:val="7B6D13BE"/>
    <w:rsid w:val="7B7E5F40"/>
    <w:rsid w:val="7C2B0102"/>
    <w:rsid w:val="7D916F45"/>
    <w:rsid w:val="7DA10099"/>
    <w:rsid w:val="7DD10836"/>
    <w:rsid w:val="7DD20DEC"/>
    <w:rsid w:val="7E210485"/>
    <w:rsid w:val="7E335BC9"/>
    <w:rsid w:val="7E8564EE"/>
    <w:rsid w:val="7ED93077"/>
    <w:rsid w:val="7F227811"/>
    <w:rsid w:val="7F704783"/>
    <w:rsid w:val="7F993099"/>
    <w:rsid w:val="7FAC3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宋体" w:hAnsi="宋体" w:eastAsia="宋体" w:cs="Times New Roman"/>
      <w:sz w:val="24"/>
      <w:szCs w:val="24"/>
      <w:lang w:val="en-US" w:eastAsia="zh-CN" w:bidi="ar-SA"/>
    </w:rPr>
  </w:style>
  <w:style w:type="paragraph" w:styleId="2">
    <w:name w:val="heading 1"/>
    <w:basedOn w:val="1"/>
    <w:next w:val="1"/>
    <w:link w:val="43"/>
    <w:qFormat/>
    <w:uiPriority w:val="0"/>
    <w:pPr>
      <w:keepNext/>
      <w:keepLines/>
      <w:numPr>
        <w:ilvl w:val="0"/>
        <w:numId w:val="1"/>
      </w:numPr>
      <w:spacing w:before="50" w:beforeLines="50" w:after="50" w:afterLines="50" w:line="240" w:lineRule="auto"/>
      <w:ind w:firstLineChars="0"/>
      <w:jc w:val="center"/>
      <w:outlineLvl w:val="0"/>
    </w:pPr>
    <w:rPr>
      <w:b/>
      <w:bCs/>
      <w:kern w:val="44"/>
      <w:sz w:val="32"/>
      <w:szCs w:val="44"/>
    </w:rPr>
  </w:style>
  <w:style w:type="paragraph" w:styleId="3">
    <w:name w:val="heading 2"/>
    <w:basedOn w:val="1"/>
    <w:next w:val="1"/>
    <w:link w:val="39"/>
    <w:qFormat/>
    <w:uiPriority w:val="0"/>
    <w:pPr>
      <w:numPr>
        <w:ilvl w:val="1"/>
        <w:numId w:val="1"/>
      </w:numPr>
      <w:spacing w:before="50" w:beforeLines="50" w:after="50" w:afterLines="50"/>
      <w:ind w:firstLineChars="0"/>
      <w:outlineLvl w:val="1"/>
    </w:pPr>
    <w:rPr>
      <w:b/>
      <w:bCs/>
      <w:sz w:val="30"/>
      <w:szCs w:val="32"/>
    </w:rPr>
  </w:style>
  <w:style w:type="paragraph" w:styleId="4">
    <w:name w:val="heading 3"/>
    <w:basedOn w:val="1"/>
    <w:next w:val="1"/>
    <w:link w:val="40"/>
    <w:qFormat/>
    <w:uiPriority w:val="0"/>
    <w:pPr>
      <w:numPr>
        <w:ilvl w:val="2"/>
        <w:numId w:val="1"/>
      </w:numPr>
      <w:spacing w:before="50" w:beforeLines="50" w:after="50" w:afterLines="50"/>
      <w:ind w:firstLineChars="0"/>
      <w:outlineLvl w:val="2"/>
    </w:pPr>
    <w:rPr>
      <w:b/>
      <w:bCs/>
      <w:sz w:val="28"/>
      <w:szCs w:val="32"/>
    </w:rPr>
  </w:style>
  <w:style w:type="paragraph" w:styleId="5">
    <w:name w:val="heading 4"/>
    <w:basedOn w:val="1"/>
    <w:next w:val="1"/>
    <w:link w:val="42"/>
    <w:qFormat/>
    <w:uiPriority w:val="0"/>
    <w:pPr>
      <w:keepNext/>
      <w:keepLines/>
      <w:numPr>
        <w:ilvl w:val="3"/>
        <w:numId w:val="1"/>
      </w:numPr>
      <w:spacing w:before="50" w:beforeLines="50" w:after="50" w:afterLines="50"/>
      <w:ind w:firstLineChars="0"/>
      <w:outlineLvl w:val="3"/>
    </w:pPr>
    <w:rPr>
      <w:b/>
      <w:bCs/>
      <w:szCs w:val="28"/>
    </w:rPr>
  </w:style>
  <w:style w:type="paragraph" w:styleId="6">
    <w:name w:val="heading 5"/>
    <w:basedOn w:val="1"/>
    <w:next w:val="1"/>
    <w:link w:val="26"/>
    <w:uiPriority w:val="0"/>
    <w:pPr>
      <w:numPr>
        <w:ilvl w:val="4"/>
        <w:numId w:val="1"/>
      </w:numPr>
      <w:ind w:firstLineChars="0"/>
      <w:outlineLvl w:val="4"/>
    </w:pPr>
    <w:rPr>
      <w:bCs/>
      <w:szCs w:val="28"/>
    </w:rPr>
  </w:style>
  <w:style w:type="paragraph" w:styleId="7">
    <w:name w:val="heading 6"/>
    <w:basedOn w:val="1"/>
    <w:next w:val="1"/>
    <w:link w:val="27"/>
    <w:uiPriority w:val="0"/>
    <w:pPr>
      <w:numPr>
        <w:ilvl w:val="5"/>
        <w:numId w:val="1"/>
      </w:numPr>
      <w:ind w:firstLineChars="0"/>
      <w:outlineLvl w:val="5"/>
    </w:pPr>
    <w:rPr>
      <w:rFonts w:cstheme="majorBidi"/>
      <w:bCs/>
    </w:rPr>
  </w:style>
  <w:style w:type="paragraph" w:styleId="8">
    <w:name w:val="heading 7"/>
    <w:basedOn w:val="1"/>
    <w:next w:val="1"/>
    <w:link w:val="32"/>
    <w:uiPriority w:val="0"/>
    <w:pPr>
      <w:numPr>
        <w:ilvl w:val="6"/>
        <w:numId w:val="1"/>
      </w:numPr>
      <w:ind w:firstLineChars="0"/>
      <w:outlineLvl w:val="6"/>
    </w:pPr>
    <w:rPr>
      <w:bCs/>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9">
    <w:name w:val="caption"/>
    <w:basedOn w:val="1"/>
    <w:next w:val="1"/>
    <w:unhideWhenUsed/>
    <w:qFormat/>
    <w:uiPriority w:val="0"/>
    <w:pPr>
      <w:ind w:firstLine="0" w:firstLineChars="0"/>
      <w:jc w:val="center"/>
    </w:pPr>
    <w:rPr>
      <w:rFonts w:cstheme="majorBidi"/>
      <w:sz w:val="21"/>
      <w:szCs w:val="20"/>
    </w:rPr>
  </w:style>
  <w:style w:type="paragraph" w:styleId="10">
    <w:name w:val="annotation text"/>
    <w:basedOn w:val="1"/>
    <w:semiHidden/>
    <w:qFormat/>
    <w:uiPriority w:val="0"/>
  </w:style>
  <w:style w:type="paragraph" w:styleId="11">
    <w:name w:val="toc 3"/>
    <w:basedOn w:val="1"/>
    <w:next w:val="1"/>
    <w:qFormat/>
    <w:uiPriority w:val="39"/>
    <w:pPr>
      <w:ind w:left="840" w:leftChars="400"/>
    </w:pPr>
  </w:style>
  <w:style w:type="paragraph" w:styleId="12">
    <w:name w:val="Date"/>
    <w:basedOn w:val="1"/>
    <w:next w:val="1"/>
    <w:qFormat/>
    <w:uiPriority w:val="0"/>
    <w:pPr>
      <w:ind w:left="100" w:leftChars="2500"/>
    </w:pPr>
  </w:style>
  <w:style w:type="paragraph" w:styleId="13">
    <w:name w:val="Balloon Text"/>
    <w:basedOn w:val="1"/>
    <w:semiHidden/>
    <w:qFormat/>
    <w:uiPriority w:val="0"/>
    <w:rPr>
      <w:sz w:val="18"/>
      <w:szCs w:val="18"/>
    </w:rPr>
  </w:style>
  <w:style w:type="paragraph" w:styleId="14">
    <w:name w:val="footer"/>
    <w:basedOn w:val="1"/>
    <w:link w:val="49"/>
    <w:qFormat/>
    <w:uiPriority w:val="99"/>
    <w:pPr>
      <w:tabs>
        <w:tab w:val="center" w:pos="4153"/>
        <w:tab w:val="right" w:pos="8306"/>
      </w:tabs>
      <w:snapToGrid w:val="0"/>
      <w:spacing w:line="240" w:lineRule="auto"/>
    </w:pPr>
    <w:rPr>
      <w:sz w:val="18"/>
      <w:szCs w:val="18"/>
    </w:rPr>
  </w:style>
  <w:style w:type="paragraph" w:styleId="15">
    <w:name w:val="header"/>
    <w:basedOn w:val="1"/>
    <w:link w:val="48"/>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6">
    <w:name w:val="toc 1"/>
    <w:basedOn w:val="1"/>
    <w:next w:val="1"/>
    <w:qFormat/>
    <w:uiPriority w:val="39"/>
  </w:style>
  <w:style w:type="paragraph" w:styleId="17">
    <w:name w:val="Subtitle"/>
    <w:basedOn w:val="1"/>
    <w:next w:val="1"/>
    <w:link w:val="28"/>
    <w:qFormat/>
    <w:uiPriority w:val="0"/>
    <w:pPr>
      <w:ind w:firstLine="0" w:firstLineChars="0"/>
      <w:outlineLvl w:val="1"/>
    </w:pPr>
    <w:rPr>
      <w:rFonts w:cstheme="minorBidi"/>
      <w:b/>
      <w:bCs/>
      <w:kern w:val="28"/>
      <w:szCs w:val="32"/>
    </w:rPr>
  </w:style>
  <w:style w:type="paragraph" w:styleId="18">
    <w:name w:val="toc 2"/>
    <w:basedOn w:val="1"/>
    <w:next w:val="1"/>
    <w:qFormat/>
    <w:uiPriority w:val="39"/>
    <w:pPr>
      <w:ind w:left="420" w:leftChars="200"/>
    </w:pPr>
  </w:style>
  <w:style w:type="paragraph" w:styleId="19">
    <w:name w:val="Title"/>
    <w:basedOn w:val="1"/>
    <w:next w:val="1"/>
    <w:link w:val="38"/>
    <w:qFormat/>
    <w:uiPriority w:val="0"/>
    <w:pPr>
      <w:spacing w:before="50" w:beforeLines="50" w:after="50" w:afterLines="50" w:line="240" w:lineRule="auto"/>
      <w:ind w:firstLine="0" w:firstLineChars="0"/>
      <w:jc w:val="center"/>
    </w:pPr>
    <w:rPr>
      <w:b/>
      <w:bCs/>
      <w:sz w:val="32"/>
      <w:szCs w:val="32"/>
    </w:rPr>
  </w:style>
  <w:style w:type="paragraph" w:styleId="20">
    <w:name w:val="annotation subject"/>
    <w:basedOn w:val="10"/>
    <w:next w:val="10"/>
    <w:semiHidden/>
    <w:qFormat/>
    <w:uiPriority w:val="0"/>
    <w:rPr>
      <w:b/>
      <w:bCs/>
    </w:rPr>
  </w:style>
  <w:style w:type="table" w:styleId="22">
    <w:name w:val="Table Grid"/>
    <w:basedOn w:val="21"/>
    <w:qFormat/>
    <w:uiPriority w:val="39"/>
    <w:rPr>
      <w:rFonts w:hint="eastAsia" w:ascii="等线" w:hAnsi="等线" w:eastAsia="等线" w:cs="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4">
    <w:name w:val="Hyperlink"/>
    <w:unhideWhenUsed/>
    <w:qFormat/>
    <w:uiPriority w:val="99"/>
    <w:rPr>
      <w:color w:val="0563C1"/>
      <w:u w:val="single"/>
    </w:rPr>
  </w:style>
  <w:style w:type="character" w:styleId="25">
    <w:name w:val="annotation reference"/>
    <w:semiHidden/>
    <w:qFormat/>
    <w:uiPriority w:val="0"/>
    <w:rPr>
      <w:sz w:val="21"/>
      <w:szCs w:val="21"/>
    </w:rPr>
  </w:style>
  <w:style w:type="character" w:customStyle="1" w:styleId="26">
    <w:name w:val="标题 5 字符"/>
    <w:basedOn w:val="23"/>
    <w:link w:val="6"/>
    <w:qFormat/>
    <w:uiPriority w:val="0"/>
    <w:rPr>
      <w:rFonts w:eastAsia="宋体"/>
      <w:bCs/>
      <w:szCs w:val="28"/>
    </w:rPr>
  </w:style>
  <w:style w:type="character" w:customStyle="1" w:styleId="27">
    <w:name w:val="标题 6 字符"/>
    <w:basedOn w:val="23"/>
    <w:link w:val="7"/>
    <w:qFormat/>
    <w:uiPriority w:val="0"/>
    <w:rPr>
      <w:rFonts w:eastAsia="宋体" w:cstheme="majorBidi"/>
      <w:bCs/>
    </w:rPr>
  </w:style>
  <w:style w:type="character" w:customStyle="1" w:styleId="28">
    <w:name w:val="副标题 字符"/>
    <w:basedOn w:val="23"/>
    <w:link w:val="17"/>
    <w:qFormat/>
    <w:uiPriority w:val="0"/>
    <w:rPr>
      <w:rFonts w:cstheme="minorBidi"/>
      <w:b/>
      <w:bCs/>
      <w:kern w:val="28"/>
      <w:szCs w:val="32"/>
    </w:rPr>
  </w:style>
  <w:style w:type="paragraph" w:customStyle="1" w:styleId="29">
    <w:name w:val="表格"/>
    <w:basedOn w:val="1"/>
    <w:qFormat/>
    <w:uiPriority w:val="0"/>
    <w:pPr>
      <w:spacing w:before="25" w:beforeLines="25" w:after="25" w:afterLines="25" w:line="240" w:lineRule="auto"/>
      <w:ind w:firstLine="0" w:firstLineChars="0"/>
      <w:jc w:val="center"/>
    </w:pPr>
    <w:rPr>
      <w:bCs/>
      <w:szCs w:val="32"/>
    </w:rPr>
  </w:style>
  <w:style w:type="paragraph" w:styleId="30">
    <w:name w:val="List Paragraph"/>
    <w:basedOn w:val="1"/>
    <w:qFormat/>
    <w:uiPriority w:val="34"/>
    <w:pPr>
      <w:ind w:firstLine="420"/>
    </w:pPr>
    <w:rPr>
      <w:rFonts w:ascii="Calibri" w:hAnsi="Calibri"/>
      <w:szCs w:val="22"/>
    </w:rPr>
  </w:style>
  <w:style w:type="table" w:customStyle="1" w:styleId="31">
    <w:name w:val="投标表格"/>
    <w:basedOn w:val="21"/>
    <w:qFormat/>
    <w:uiPriority w:val="99"/>
    <w:pPr>
      <w:jc w:val="center"/>
    </w:pPr>
    <w:rPr>
      <w:rFonts w:ascii="Calibri" w:hAnsi="Calibri"/>
      <w:kern w:val="2"/>
      <w:sz w:val="21"/>
      <w:szCs w:val="22"/>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rPr>
      <w:jc w:val="center"/>
    </w:trPr>
    <w:tcPr>
      <w:vAlign w:val="center"/>
    </w:tcPr>
  </w:style>
  <w:style w:type="character" w:customStyle="1" w:styleId="32">
    <w:name w:val="标题 7 字符"/>
    <w:basedOn w:val="23"/>
    <w:link w:val="8"/>
    <w:qFormat/>
    <w:uiPriority w:val="0"/>
    <w:rPr>
      <w:bCs/>
    </w:rPr>
  </w:style>
  <w:style w:type="table" w:customStyle="1" w:styleId="33">
    <w:name w:val="Standard"/>
    <w:basedOn w:val="21"/>
    <w:qFormat/>
    <w:uiPriority w:val="99"/>
    <w:pPr>
      <w:jc w:val="center"/>
    </w:p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
    <w:tcPr>
      <w:vAlign w:val="center"/>
    </w:tcPr>
    <w:tblStylePr w:type="firstRow">
      <w:tcPr>
        <w:tcBorders>
          <w:top w:val="single" w:color="auto" w:sz="12" w:space="0"/>
          <w:left w:val="single" w:color="auto" w:sz="12" w:space="0"/>
          <w:bottom w:val="single" w:color="auto" w:sz="12" w:space="0"/>
          <w:right w:val="single" w:color="auto" w:sz="12" w:space="0"/>
        </w:tcBorders>
        <w:shd w:val="clear" w:color="auto" w:fill="C1D2F0"/>
      </w:tcPr>
    </w:tblStylePr>
  </w:style>
  <w:style w:type="paragraph" w:styleId="34">
    <w:name w:val="No Spacing"/>
    <w:link w:val="35"/>
    <w:qFormat/>
    <w:uiPriority w:val="1"/>
    <w:pPr>
      <w:widowControl w:val="0"/>
      <w:spacing w:line="360" w:lineRule="auto"/>
      <w:jc w:val="center"/>
    </w:pPr>
    <w:rPr>
      <w:rFonts w:ascii="宋体" w:hAnsi="宋体" w:eastAsia="宋体" w:cs="宋体"/>
      <w:kern w:val="2"/>
      <w:sz w:val="24"/>
      <w:szCs w:val="24"/>
      <w:lang w:val="en-US" w:eastAsia="zh-CN" w:bidi="ar-SA"/>
    </w:rPr>
  </w:style>
  <w:style w:type="character" w:customStyle="1" w:styleId="35">
    <w:name w:val="无间隔 字符"/>
    <w:link w:val="34"/>
    <w:qFormat/>
    <w:locked/>
    <w:uiPriority w:val="1"/>
    <w:rPr>
      <w:rFonts w:ascii="宋体" w:hAnsi="宋体" w:cs="宋体"/>
      <w:kern w:val="2"/>
      <w:sz w:val="24"/>
      <w:szCs w:val="24"/>
    </w:rPr>
  </w:style>
  <w:style w:type="character" w:customStyle="1" w:styleId="36">
    <w:name w:val="中泸建设 Char1"/>
    <w:link w:val="37"/>
    <w:qFormat/>
    <w:uiPriority w:val="99"/>
    <w:rPr>
      <w:rFonts w:cs="宋体"/>
    </w:rPr>
  </w:style>
  <w:style w:type="paragraph" w:customStyle="1" w:styleId="37">
    <w:name w:val="11"/>
    <w:link w:val="36"/>
    <w:qFormat/>
    <w:uiPriority w:val="99"/>
    <w:pPr>
      <w:spacing w:line="360" w:lineRule="auto"/>
      <w:ind w:firstLine="480" w:firstLineChars="200"/>
      <w:jc w:val="both"/>
    </w:pPr>
    <w:rPr>
      <w:rFonts w:ascii="宋体" w:hAnsi="宋体" w:eastAsia="宋体" w:cs="宋体"/>
      <w:sz w:val="24"/>
      <w:szCs w:val="24"/>
      <w:lang w:val="en-US" w:eastAsia="zh-CN" w:bidi="ar-SA"/>
    </w:rPr>
  </w:style>
  <w:style w:type="character" w:customStyle="1" w:styleId="38">
    <w:name w:val="标题 字符"/>
    <w:link w:val="19"/>
    <w:qFormat/>
    <w:uiPriority w:val="0"/>
    <w:rPr>
      <w:b/>
      <w:bCs/>
      <w:sz w:val="32"/>
      <w:szCs w:val="32"/>
    </w:rPr>
  </w:style>
  <w:style w:type="character" w:customStyle="1" w:styleId="39">
    <w:name w:val="标题 2 字符"/>
    <w:link w:val="3"/>
    <w:qFormat/>
    <w:uiPriority w:val="0"/>
    <w:rPr>
      <w:b/>
      <w:bCs/>
      <w:sz w:val="30"/>
      <w:szCs w:val="32"/>
    </w:rPr>
  </w:style>
  <w:style w:type="character" w:customStyle="1" w:styleId="40">
    <w:name w:val="标题 3 字符"/>
    <w:link w:val="4"/>
    <w:qFormat/>
    <w:uiPriority w:val="0"/>
    <w:rPr>
      <w:b/>
      <w:bCs/>
      <w:sz w:val="28"/>
      <w:szCs w:val="32"/>
    </w:rPr>
  </w:style>
  <w:style w:type="paragraph" w:customStyle="1" w:styleId="41">
    <w:name w:val="正文无缩进"/>
    <w:basedOn w:val="1"/>
    <w:qFormat/>
    <w:uiPriority w:val="0"/>
    <w:pPr>
      <w:ind w:firstLine="0" w:firstLineChars="0"/>
    </w:pPr>
  </w:style>
  <w:style w:type="character" w:customStyle="1" w:styleId="42">
    <w:name w:val="标题 4 字符"/>
    <w:link w:val="5"/>
    <w:qFormat/>
    <w:uiPriority w:val="0"/>
    <w:rPr>
      <w:b/>
      <w:bCs/>
      <w:szCs w:val="28"/>
    </w:rPr>
  </w:style>
  <w:style w:type="character" w:customStyle="1" w:styleId="43">
    <w:name w:val="标题 1 字符"/>
    <w:link w:val="2"/>
    <w:qFormat/>
    <w:uiPriority w:val="0"/>
    <w:rPr>
      <w:b/>
      <w:bCs/>
      <w:kern w:val="44"/>
      <w:sz w:val="32"/>
      <w:szCs w:val="44"/>
    </w:rPr>
  </w:style>
  <w:style w:type="paragraph" w:customStyle="1" w:styleId="44">
    <w:name w:val="小标题"/>
    <w:basedOn w:val="1"/>
    <w:next w:val="1"/>
    <w:qFormat/>
    <w:uiPriority w:val="99"/>
    <w:pPr>
      <w:spacing w:before="50" w:beforeLines="50" w:after="50" w:afterLines="50" w:line="240" w:lineRule="auto"/>
      <w:ind w:firstLine="0" w:firstLineChars="0"/>
    </w:pPr>
    <w:rPr>
      <w:rFonts w:cstheme="minorBidi"/>
      <w:b/>
      <w:kern w:val="2"/>
      <w:szCs w:val="22"/>
    </w:rPr>
  </w:style>
  <w:style w:type="paragraph" w:customStyle="1" w:styleId="45">
    <w:name w:val="KS行内公式"/>
    <w:qFormat/>
    <w:uiPriority w:val="99"/>
    <w:pPr>
      <w:spacing w:line="360" w:lineRule="auto"/>
    </w:pPr>
    <w:rPr>
      <w:rFonts w:ascii="Cambria Math" w:hAnsi="Cambria Math" w:eastAsia="宋体" w:cs="宋体"/>
      <w:bCs/>
      <w:i/>
      <w:snapToGrid w:val="0"/>
      <w:color w:val="4472C4" w:themeColor="accent1"/>
      <w:sz w:val="24"/>
      <w:szCs w:val="24"/>
      <w:lang w:val="en-US" w:eastAsia="zh-CN" w:bidi="ar-SA"/>
      <w14:textFill>
        <w14:solidFill>
          <w14:schemeClr w14:val="accent1"/>
        </w14:solidFill>
      </w14:textFill>
    </w:rPr>
  </w:style>
  <w:style w:type="paragraph" w:customStyle="1" w:styleId="46">
    <w:name w:val="KS行间公式"/>
    <w:qFormat/>
    <w:uiPriority w:val="99"/>
    <w:pPr>
      <w:spacing w:line="480" w:lineRule="auto"/>
      <w:jc w:val="center"/>
    </w:pPr>
    <w:rPr>
      <w:rFonts w:ascii="Cambria Math" w:hAnsi="Cambria Math" w:eastAsia="宋体" w:cs="宋体"/>
      <w:bCs/>
      <w:i/>
      <w:snapToGrid w:val="0"/>
      <w:color w:val="4472C4" w:themeColor="accent1"/>
      <w:sz w:val="24"/>
      <w:szCs w:val="24"/>
      <w:lang w:val="en-US" w:eastAsia="zh-CN" w:bidi="ar-SA"/>
      <w14:textFill>
        <w14:solidFill>
          <w14:schemeClr w14:val="accent1"/>
        </w14:solidFill>
      </w14:textFill>
    </w:rPr>
  </w:style>
  <w:style w:type="character" w:styleId="47">
    <w:name w:val="Placeholder Text"/>
    <w:basedOn w:val="23"/>
    <w:semiHidden/>
    <w:qFormat/>
    <w:uiPriority w:val="99"/>
    <w:rPr>
      <w:color w:val="808080"/>
    </w:rPr>
  </w:style>
  <w:style w:type="character" w:customStyle="1" w:styleId="48">
    <w:name w:val="页眉 字符"/>
    <w:basedOn w:val="23"/>
    <w:link w:val="15"/>
    <w:qFormat/>
    <w:uiPriority w:val="99"/>
    <w:rPr>
      <w:sz w:val="18"/>
      <w:szCs w:val="18"/>
    </w:rPr>
  </w:style>
  <w:style w:type="character" w:customStyle="1" w:styleId="49">
    <w:name w:val="页脚 字符"/>
    <w:basedOn w:val="23"/>
    <w:link w:val="14"/>
    <w:qFormat/>
    <w:uiPriority w:val="99"/>
    <w:rPr>
      <w:sz w:val="18"/>
      <w:szCs w:val="18"/>
    </w:rPr>
  </w:style>
  <w:style w:type="paragraph" w:customStyle="1" w:styleId="50">
    <w:name w:val="OK"/>
    <w:basedOn w:val="1"/>
    <w:qFormat/>
    <w:uiPriority w:val="0"/>
    <w:pPr>
      <w:ind w:firstLine="480"/>
    </w:pPr>
    <w:rPr>
      <w:color w:val="00B05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emf"/><Relationship Id="rId13" Type="http://schemas.openxmlformats.org/officeDocument/2006/relationships/oleObject" Target="embeddings/Microsoft_Visio_2003-2010___1.vsd"/><Relationship Id="rId12" Type="http://schemas.openxmlformats.org/officeDocument/2006/relationships/image" Target="media/image3.png"/><Relationship Id="rId11" Type="http://schemas.openxmlformats.org/officeDocument/2006/relationships/image" Target="media/image2.sv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B4AC88-8CF7-43EE-BA88-F11DA205173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39</Pages>
  <Words>14266</Words>
  <Characters>19767</Characters>
  <Lines>276</Lines>
  <Paragraphs>77</Paragraphs>
  <TotalTime>4</TotalTime>
  <ScaleCrop>false</ScaleCrop>
  <LinksUpToDate>false</LinksUpToDate>
  <CharactersWithSpaces>20662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2023-03-06T06:31:00Z</dcterms:created>
  <dc:creator>微软用户</dc:creator>
  <cp:lastModifiedBy>WPS_1591226963</cp:lastModifiedBy>
  <cp:lastPrinted>2019-12-03T07:48:00Z</cp:lastPrinted>
  <dcterms:modified xsi:type="dcterms:W3CDTF">2023-06-20T02:47:45Z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68EDB0F830884347A2AA29380441780E</vt:lpwstr>
  </property>
</Properties>
</file>